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87C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安徽财经大学会计学院</w:t>
      </w:r>
    </w:p>
    <w:p w14:paraId="19EF6C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会计学（ACCA）方向班简介</w:t>
      </w:r>
    </w:p>
    <w:p w14:paraId="0BC3FE66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056F04D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响应财政部发布的《会计行业中长期人才发展规划(2021-2025年)》，适应市场对财会人员数智化的要求，进一步推动我校会计学专业国际化发展，提高学生的就业竞争力，我校于2020年与全球最具规模的国际专业会计师组织达成合作，组建会计学专业（ACCA）方向班。该专业方向采用“学历+国际职业资格”相结合的培养方式，使用全英文国际版教材，通过双语教学，兼融数字技术赋能财会教育，培养具有正确世界观、正确价值观、爱国情怀和职业道德的国际化、应用型、创新能力的高端财会人才。</w:t>
      </w:r>
    </w:p>
    <w:p w14:paraId="1B72E50C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  <w:t>一、</w:t>
      </w: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</w:rPr>
        <w:t>培养目标</w:t>
      </w:r>
    </w:p>
    <w:p w14:paraId="372185D4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培养践行社会主义核心价值观，坚持德、智、体、美、劳全面发展，富有诚信笃行品德和社会责任感，熟练运用现代信息技术，掌握经济学、管理学、法学等基本理论，掌握会计学、审计学、财务管理等专业知识，知晓国际市场会计学与财务管理知识，了解国内外会计机构的运作管理程序，具有国际化视野和交往能力，具有国际化服务意识，基础实、能力强、素质高，具有创新精神、创业意识，适应经济社会发展需要的新时代高层次应用型专门人才。</w:t>
      </w:r>
    </w:p>
    <w:p w14:paraId="52A3939E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kern w:val="0"/>
          <w:sz w:val="32"/>
          <w:szCs w:val="32"/>
          <w:lang w:val="en-US" w:eastAsia="zh-CN" w:bidi="ar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  <w:t>培养特色</w:t>
      </w:r>
    </w:p>
    <w:p w14:paraId="0B5FB47E">
      <w:pPr>
        <w:keepNext w:val="0"/>
        <w:keepLines w:val="0"/>
        <w:widowControl/>
        <w:numPr>
          <w:ilvl w:val="0"/>
          <w:numId w:val="0"/>
        </w:numPr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业依托多学科的综合支撑，善于利用现代信息技术、注重国际化教学。其基础类课程体系完备、技术类课程体系完善、专业类课程体系结构合理、创新创业类课程体系鲜明、选修类课程体系多元化。同时，本专业兼顾注重理论知识学习和实践技能培养，有其独特的培养特色。</w:t>
      </w:r>
    </w:p>
    <w:p w14:paraId="1642FD5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业根据安财“新经管”的内涵要求，采用以实施全面素质教育为主旨的“宽、合、分”模式培养学生，依托我校经济学、管理学、法学、外语等学科综合发展优势和全球领先会计师组织的国际教育平台，拓宽会计学专业知识基础，强化实践教学，突出个性化发展，注重学生创新能力和国际视野的培养，致力于培养具有扎实会计专业知识、较强实践能力和国际竞争力的高素质会计专业人才。</w:t>
      </w:r>
    </w:p>
    <w:p w14:paraId="0613C925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  <w:t>专业学制、毕业学位授予</w:t>
      </w:r>
    </w:p>
    <w:p w14:paraId="624BDCF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学制：4年。</w:t>
      </w:r>
    </w:p>
    <w:p w14:paraId="2603A6F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毕业授予：会计学本科毕业证书和管理学学士学位。</w:t>
      </w:r>
    </w:p>
    <w:p w14:paraId="799102A7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  <w:t>免考政策、特色奖学金</w:t>
      </w:r>
    </w:p>
    <w:p w14:paraId="30EE72E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学生可申请免考ACCA中F阶段1、2、3、4、6、8科目，并享有特色奖学金、优质企事业单位就业实习内推机会。</w:t>
      </w:r>
    </w:p>
    <w:p w14:paraId="0B2C3A8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kern w:val="0"/>
          <w:sz w:val="32"/>
          <w:szCs w:val="32"/>
          <w:lang w:val="en-US" w:eastAsia="zh-CN" w:bidi="ar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kern w:val="0"/>
          <w:sz w:val="32"/>
          <w:szCs w:val="32"/>
          <w:lang w:val="en-US" w:eastAsia="zh-CN" w:bidi="ar"/>
        </w:rPr>
        <w:t>班级的核心课程</w:t>
      </w:r>
    </w:p>
    <w:p w14:paraId="7AAC2EC0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203065" cy="3864610"/>
            <wp:effectExtent l="0" t="0" r="13335" b="2159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306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D6C4C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  <w:t>班级的选拔对象及条件</w:t>
      </w:r>
    </w:p>
    <w:p w14:paraId="39CB998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该方向班拟面向全校从转专业学生中选拔50名优秀学生，参选学生应满足以下条件：</w:t>
      </w:r>
    </w:p>
    <w:p w14:paraId="330BC45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1.应遵守学校各项规章制度，未受过纪律处分，符合学校专业分流基本原则；                                           </w:t>
      </w:r>
    </w:p>
    <w:p w14:paraId="3699FDD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2.申请转入学生应该修读完第一学期培养方案规定的全部课程，原则上平均学分绩点≥3.8；                                                </w:t>
      </w:r>
    </w:p>
    <w:p w14:paraId="23F34BF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3.第一学期须修读数学类课程；</w:t>
      </w:r>
    </w:p>
    <w:p w14:paraId="16DB5F3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4.若报名人数大于接收人数，则按平均学分绩点择优录取；若最后一位平均学分绩点相同，则依次按照数学类课程、英语精读（1）、英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语听说（1）、专业课等科目期末考试成绩排序择优录取。</w:t>
      </w:r>
    </w:p>
    <w:p w14:paraId="5DB52C98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color w:val="404040"/>
          <w:spacing w:val="0"/>
          <w:sz w:val="32"/>
          <w:szCs w:val="32"/>
          <w:lang w:val="en-US" w:eastAsia="zh-CN"/>
        </w:rPr>
        <w:t>收费标准</w:t>
      </w:r>
    </w:p>
    <w:p w14:paraId="4795BAE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1.大学本科学费、住宿费等依据安徽省和学校规定执行；</w:t>
      </w:r>
    </w:p>
    <w:p w14:paraId="7A23418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2.ACCA课程培训费共计4万元，分两次收取，2025年5月缴纳2万元，2026年9月前再缴纳2万元；</w:t>
      </w:r>
    </w:p>
    <w:p w14:paraId="6472E6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3.ACCA考试和教材费用自理。</w:t>
      </w:r>
    </w:p>
    <w:p w14:paraId="59A547FB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FB5151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40" w:lineRule="auto"/>
        <w:ind w:left="0" w:right="0" w:firstLine="640"/>
        <w:jc w:val="right"/>
        <w:rPr>
          <w:rFonts w:hint="eastAsia" w:eastAsiaTheme="minorEastAsia"/>
          <w:lang w:val="en-US" w:eastAsia="zh-CN"/>
        </w:rPr>
      </w:pP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4FF5F4"/>
    <w:multiLevelType w:val="singleLevel"/>
    <w:tmpl w:val="F74FF5F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1NmMyYzA1ZDhjYmZiYzljODgwNzNjMWZkYjRhOTMifQ=="/>
    <w:docVar w:name="KSO_WPS_MARK_KEY" w:val="5d98f497-bfcc-434b-8f08-3b0db9c423e2"/>
  </w:docVars>
  <w:rsids>
    <w:rsidRoot w:val="EF67AFF3"/>
    <w:rsid w:val="0380303A"/>
    <w:rsid w:val="0CFC3674"/>
    <w:rsid w:val="2DAFE101"/>
    <w:rsid w:val="30084FFB"/>
    <w:rsid w:val="347F7B6F"/>
    <w:rsid w:val="3C0DAA3B"/>
    <w:rsid w:val="4191177F"/>
    <w:rsid w:val="440850D0"/>
    <w:rsid w:val="4A1813CE"/>
    <w:rsid w:val="577F9B04"/>
    <w:rsid w:val="58FFAA42"/>
    <w:rsid w:val="5D923490"/>
    <w:rsid w:val="5DF43E2D"/>
    <w:rsid w:val="648207F0"/>
    <w:rsid w:val="6C433E69"/>
    <w:rsid w:val="6C7031CA"/>
    <w:rsid w:val="6FC304B9"/>
    <w:rsid w:val="72750208"/>
    <w:rsid w:val="7A7B0E2A"/>
    <w:rsid w:val="7D199EA5"/>
    <w:rsid w:val="7D1CDB37"/>
    <w:rsid w:val="7F3B6673"/>
    <w:rsid w:val="BFFF6FEE"/>
    <w:rsid w:val="CCBB5237"/>
    <w:rsid w:val="DBAFDFBB"/>
    <w:rsid w:val="EE56E4E1"/>
    <w:rsid w:val="EF67AFF3"/>
    <w:rsid w:val="F5FEF047"/>
    <w:rsid w:val="F71ACA42"/>
    <w:rsid w:val="FA17335A"/>
    <w:rsid w:val="FB579C27"/>
    <w:rsid w:val="FFEFD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1154</Words>
  <Characters>1199</Characters>
  <Lines>0</Lines>
  <Paragraphs>0</Paragraphs>
  <TotalTime>1</TotalTime>
  <ScaleCrop>false</ScaleCrop>
  <LinksUpToDate>false</LinksUpToDate>
  <CharactersWithSpaces>1291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2025-03-15T08:23:00Z</dcterms:created>
  <dc:creator>三寸日光</dc:creator>
  <cp:lastModifiedBy>曹咩咩</cp:lastModifiedBy>
  <cp:lastPrinted>2025-03-19T10:23:00Z</cp:lastPrinted>
  <dcterms:modified xsi:type="dcterms:W3CDTF">2025-03-20T07:37:54Z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37CA1EFD9DC44D439A23D072A114896D_13</vt:lpwstr>
  </property>
  <property fmtid="{D5CDD505-2E9C-101B-9397-08002B2CF9AE}" pid="4" name="KSOTemplateDocerSaveRecord">
    <vt:lpwstr>eyJoZGlkIjoiNTNkYTA0NjUxZWU1MDQzMTJlNWEzNjg2ZjMyMGRhY2UiLCJ1c2VySWQiOiI5MzA2MDI3MzkifQ==</vt:lpwstr>
  </property>
</Properties>
</file>