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38478">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val="0"/>
          <w:color w:val="000000"/>
          <w:kern w:val="0"/>
          <w:sz w:val="44"/>
          <w:szCs w:val="44"/>
          <w:lang w:val="en-US" w:eastAsia="zh-CN" w:bidi="ar"/>
        </w:rPr>
      </w:pPr>
      <w:bookmarkStart w:id="2" w:name="_GoBack"/>
      <w:bookmarkStart w:id="0" w:name="_Toc12800"/>
      <w:bookmarkStart w:id="1" w:name="_Toc171585519"/>
      <w:r>
        <w:rPr>
          <w:rFonts w:hint="eastAsia" w:ascii="方正小标宋简体" w:hAnsi="方正小标宋简体" w:eastAsia="方正小标宋简体" w:cs="方正小标宋简体"/>
          <w:b w:val="0"/>
          <w:bCs w:val="0"/>
          <w:color w:val="000000"/>
          <w:kern w:val="0"/>
          <w:sz w:val="44"/>
          <w:szCs w:val="44"/>
          <w:lang w:val="en-US" w:eastAsia="zh-CN" w:bidi="ar"/>
        </w:rPr>
        <w:t>安徽财经大学法学院</w:t>
      </w:r>
    </w:p>
    <w:p w14:paraId="46A769E0">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法学（法务会计）方向</w:t>
      </w:r>
      <w:r>
        <w:rPr>
          <w:rFonts w:hint="eastAsia" w:ascii="方正小标宋简体" w:hAnsi="方正小标宋简体" w:eastAsia="方正小标宋简体" w:cs="方正小标宋简体"/>
          <w:sz w:val="44"/>
          <w:szCs w:val="44"/>
          <w:lang w:val="en-US" w:eastAsia="zh-CN"/>
        </w:rPr>
        <w:t>班简介</w:t>
      </w:r>
    </w:p>
    <w:p w14:paraId="041A1EA8">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p>
    <w:bookmarkEnd w:id="2"/>
    <w:p w14:paraId="271238B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法务会计方向为安徽财经大学法学院法学专业门类下的特色培养方向，学制4年，授予法学学士学位。现就该特色方向开设的背景、概况、特色及成效作如下说明。</w:t>
      </w:r>
    </w:p>
    <w:bookmarkEnd w:id="0"/>
    <w:bookmarkEnd w:id="1"/>
    <w:p w14:paraId="0B7D0610">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法学（法务会计）专业特色培养方向开设的背景</w:t>
      </w:r>
    </w:p>
    <w:p w14:paraId="6549DC3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320" w:firstLineChars="1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（一）法学（法务会计）的界定</w:t>
      </w:r>
    </w:p>
    <w:p w14:paraId="1C20D9D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rPr>
      </w:pPr>
      <w:r>
        <w:rPr>
          <w:rFonts w:hint="default" w:ascii="仿宋_GB2312" w:hAnsi="仿宋_GB2312" w:eastAsia="仿宋_GB2312" w:cs="仿宋_GB2312"/>
          <w:color w:val="000000" w:themeColor="text1"/>
          <w:sz w:val="32"/>
          <w:szCs w:val="32"/>
          <w:lang w:val="en-US" w:eastAsia="zh-CN"/>
        </w:rPr>
        <w:t>法务会计是“法律”与“会计”的复合</w:t>
      </w:r>
      <w:r>
        <w:rPr>
          <w:rFonts w:hint="eastAsia" w:ascii="仿宋_GB2312" w:hAnsi="仿宋_GB2312" w:eastAsia="仿宋_GB2312" w:cs="仿宋_GB2312"/>
          <w:color w:val="000000" w:themeColor="text1"/>
          <w:sz w:val="32"/>
          <w:szCs w:val="32"/>
          <w:lang w:val="en-US" w:eastAsia="zh-CN"/>
        </w:rPr>
        <w:t>。</w:t>
      </w:r>
      <w:r>
        <w:rPr>
          <w:rFonts w:hint="default" w:ascii="仿宋_GB2312" w:hAnsi="仿宋_GB2312" w:eastAsia="仿宋_GB2312" w:cs="仿宋_GB2312"/>
          <w:color w:val="000000" w:themeColor="text1"/>
          <w:sz w:val="32"/>
          <w:szCs w:val="32"/>
          <w:lang w:val="en-US" w:eastAsia="zh-CN"/>
        </w:rPr>
        <w:t>法务会计是将会计原则、会计理论、会计准则等各种会计知识，运用于分析法律争议中的事实问题或假定问题。</w:t>
      </w:r>
    </w:p>
    <w:p w14:paraId="0D9F093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320" w:firstLineChars="1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（二）设置法学（法务会计）专业特色培养方向原因</w:t>
      </w:r>
    </w:p>
    <w:p w14:paraId="2514F44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安徽财经大学是以“经济、管理、法学”三大学科为主干学科的综合性大学，培养经管法复合型人才是其特色</w:t>
      </w:r>
      <w:r>
        <w:rPr>
          <w:rFonts w:hint="eastAsia" w:ascii="仿宋_GB2312" w:hAnsi="仿宋_GB2312" w:eastAsia="仿宋_GB2312" w:cs="仿宋_GB2312"/>
          <w:color w:val="000000" w:themeColor="text1"/>
          <w:sz w:val="32"/>
          <w:szCs w:val="32"/>
          <w:lang w:eastAsia="zh-CN"/>
        </w:rPr>
        <w:t>。会计学和法学是安徽财经大学的主干学科，培养法务会计人才符合学校人才培养目标。</w:t>
      </w:r>
      <w:r>
        <w:rPr>
          <w:rFonts w:hint="eastAsia" w:ascii="仿宋_GB2312" w:hAnsi="仿宋_GB2312" w:eastAsia="仿宋_GB2312" w:cs="仿宋_GB2312"/>
          <w:sz w:val="32"/>
          <w:szCs w:val="32"/>
        </w:rPr>
        <w:t>根据学校提出的“拥抱新时代 打造新经管”战略，充分依托学校经济和管理类学科优势，学院在做实、做强传统法学专业的基础上，注重分类培养、</w:t>
      </w:r>
      <w:r>
        <w:rPr>
          <w:rFonts w:hint="eastAsia" w:ascii="仿宋_GB2312" w:hAnsi="仿宋_GB2312" w:eastAsia="仿宋_GB2312" w:cs="仿宋_GB2312"/>
          <w:color w:val="000000" w:themeColor="text1"/>
          <w:sz w:val="32"/>
          <w:szCs w:val="32"/>
        </w:rPr>
        <w:t>凝练办学特色，设立了</w:t>
      </w:r>
      <w:r>
        <w:rPr>
          <w:rFonts w:hint="eastAsia" w:ascii="仿宋_GB2312" w:hAnsi="仿宋_GB2312" w:eastAsia="仿宋_GB2312" w:cs="仿宋_GB2312"/>
          <w:color w:val="000000" w:themeColor="text1"/>
          <w:sz w:val="32"/>
          <w:szCs w:val="32"/>
          <w:lang w:val="en-US" w:eastAsia="zh-CN"/>
        </w:rPr>
        <w:t>法学（</w:t>
      </w:r>
      <w:r>
        <w:rPr>
          <w:rFonts w:hint="eastAsia" w:ascii="仿宋_GB2312" w:hAnsi="仿宋_GB2312" w:eastAsia="仿宋_GB2312" w:cs="仿宋_GB2312"/>
          <w:color w:val="000000" w:themeColor="text1"/>
          <w:sz w:val="32"/>
          <w:szCs w:val="32"/>
        </w:rPr>
        <w:t>法务会计</w:t>
      </w:r>
      <w:r>
        <w:rPr>
          <w:rFonts w:hint="eastAsia" w:ascii="仿宋_GB2312" w:hAnsi="仿宋_GB2312" w:eastAsia="仿宋_GB2312" w:cs="仿宋_GB2312"/>
          <w:color w:val="000000" w:themeColor="text1"/>
          <w:sz w:val="32"/>
          <w:szCs w:val="32"/>
          <w:lang w:val="en-US" w:eastAsia="zh-CN"/>
        </w:rPr>
        <w:t>）</w:t>
      </w:r>
      <w:r>
        <w:rPr>
          <w:rFonts w:hint="eastAsia" w:ascii="仿宋_GB2312" w:hAnsi="仿宋_GB2312" w:eastAsia="仿宋_GB2312" w:cs="仿宋_GB2312"/>
          <w:color w:val="000000" w:themeColor="text1"/>
          <w:sz w:val="32"/>
          <w:szCs w:val="32"/>
        </w:rPr>
        <w:t>特色培养方向。</w:t>
      </w:r>
    </w:p>
    <w:p w14:paraId="56E6C909">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法学（法务会计）专业特色培养方向的开设情况</w:t>
      </w:r>
    </w:p>
    <w:p w14:paraId="32DE614F">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（一）班级设置情况</w:t>
      </w:r>
    </w:p>
    <w:p w14:paraId="4F05376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sz w:val="32"/>
          <w:szCs w:val="32"/>
          <w:lang w:val="en-US" w:eastAsia="zh-CN"/>
        </w:rPr>
        <w:t>法学（法务会计）专业采用小班授课模式，精英化教育，控制规模。依</w:t>
      </w:r>
      <w:r>
        <w:rPr>
          <w:rFonts w:hint="eastAsia" w:ascii="仿宋_GB2312" w:hAnsi="仿宋_GB2312" w:eastAsia="仿宋_GB2312" w:cs="仿宋_GB2312"/>
          <w:sz w:val="32"/>
          <w:szCs w:val="32"/>
        </w:rPr>
        <w:t>托学校优势学科和财经类专业背</w:t>
      </w:r>
      <w:r>
        <w:rPr>
          <w:rFonts w:hint="eastAsia" w:ascii="仿宋_GB2312" w:hAnsi="仿宋_GB2312" w:eastAsia="仿宋_GB2312" w:cs="仿宋_GB2312"/>
          <w:color w:val="000000" w:themeColor="text1"/>
          <w:sz w:val="32"/>
          <w:szCs w:val="32"/>
        </w:rPr>
        <w:t>景，于201</w:t>
      </w:r>
      <w:r>
        <w:rPr>
          <w:rFonts w:hint="eastAsia" w:ascii="仿宋_GB2312" w:hAnsi="仿宋_GB2312" w:eastAsia="仿宋_GB2312" w:cs="仿宋_GB2312"/>
          <w:color w:val="000000" w:themeColor="text1"/>
          <w:sz w:val="32"/>
          <w:szCs w:val="32"/>
          <w:lang w:val="en-US" w:eastAsia="zh-CN"/>
        </w:rPr>
        <w:t>9</w:t>
      </w:r>
      <w:r>
        <w:rPr>
          <w:rFonts w:hint="eastAsia" w:ascii="仿宋_GB2312" w:hAnsi="仿宋_GB2312" w:eastAsia="仿宋_GB2312" w:cs="仿宋_GB2312"/>
          <w:color w:val="000000" w:themeColor="text1"/>
          <w:sz w:val="32"/>
          <w:szCs w:val="32"/>
        </w:rPr>
        <w:t>年开设法务会计班，截止目前已有三届毕业生</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共115人</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在校学生89人，分别为21级40人，22级24人，23级25人。</w:t>
      </w:r>
    </w:p>
    <w:p w14:paraId="07EAA0BE">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（二）师资队伍情况</w:t>
      </w:r>
    </w:p>
    <w:p w14:paraId="69489F7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学院设置专门的法务会计教研部进行针对性管理，共9人，系主任、副主任各1人，成员7人。教学团队教授2人，副教授2人，主要教授法学专业课程，会计基础专业课由我校会计学院专任教师讲授。</w:t>
      </w:r>
    </w:p>
    <w:p w14:paraId="26B9F010">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法学（法务会计）专业培养的特色</w:t>
      </w:r>
    </w:p>
    <w:p w14:paraId="6D80C6C7">
      <w:pPr>
        <w:keepNext w:val="0"/>
        <w:keepLines w:val="0"/>
        <w:pageBreakBefore w:val="0"/>
        <w:widowControl/>
        <w:numPr>
          <w:ilvl w:val="0"/>
          <w:numId w:val="2"/>
        </w:numPr>
        <w:kinsoku/>
        <w:wordWrap/>
        <w:overflowPunct/>
        <w:topLinePunct w:val="0"/>
        <w:autoSpaceDE/>
        <w:autoSpaceDN/>
        <w:bidi w:val="0"/>
        <w:adjustRightInd/>
        <w:snapToGrid/>
        <w:spacing w:line="560" w:lineRule="exact"/>
        <w:ind w:left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设置特色培养目标</w:t>
      </w:r>
    </w:p>
    <w:p w14:paraId="08021A6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_GB2312" w:eastAsia="仿宋_GB2312"/>
          <w:sz w:val="32"/>
          <w:szCs w:val="32"/>
        </w:rPr>
        <w:t>法学专业法务会计方向是我校注重法治人才分类培养的新型特色专业方向。培养特色是强化与学校的会计学优势专业相结合，培养和践行具有社会主义核心价值观，系统掌握法学和会计学知识，兼具经济类学科专业基本知识，德智体美劳全面发展的复合型、应用型的卓越法治人才。</w:t>
      </w:r>
    </w:p>
    <w:p w14:paraId="438639AB">
      <w:pPr>
        <w:keepNext w:val="0"/>
        <w:keepLines w:val="0"/>
        <w:pageBreakBefore w:val="0"/>
        <w:widowControl/>
        <w:numPr>
          <w:ilvl w:val="0"/>
          <w:numId w:val="3"/>
        </w:numPr>
        <w:kinsoku/>
        <w:wordWrap/>
        <w:overflowPunct/>
        <w:topLinePunct w:val="0"/>
        <w:autoSpaceDE/>
        <w:autoSpaceDN/>
        <w:bidi w:val="0"/>
        <w:adjustRightInd/>
        <w:snapToGrid/>
        <w:spacing w:line="560" w:lineRule="exact"/>
        <w:ind w:leftChars="200"/>
        <w:jc w:val="lef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课程设置特色</w:t>
      </w:r>
    </w:p>
    <w:p w14:paraId="1D2D612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法学（法务会计）专业兼顾法学专业专业课和会计基础专业课，培养方案将18AC0146 法务会计（必修）、18AC0145 基础会计（必修）、ACI1131102 中级财务会计（必修）、22AC1066 高级财务会计（必修）会计类课程作为专业核心课程，专业进阶模块课程包括18AC0144 财务管理（选修）、22AC1067 审计学（选修）、18AC0100 财务报表分析（选修）、18AC0181 会计综合实验 （选修）等会计类课程。</w:t>
      </w:r>
    </w:p>
    <w:p w14:paraId="24CA3ACE">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四、法学（法务会计）特色培养的初步成效</w:t>
      </w:r>
    </w:p>
    <w:p w14:paraId="374751E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法学（法务会计）专业的毕业生主要有以下几种就业方向：</w:t>
      </w:r>
      <w:r>
        <w:rPr>
          <w:rFonts w:hint="default" w:ascii="仿宋_GB2312" w:hAnsi="仿宋_GB2312" w:eastAsia="仿宋_GB2312" w:cs="仿宋_GB2312"/>
          <w:sz w:val="32"/>
          <w:szCs w:val="32"/>
          <w:lang w:val="en-US" w:eastAsia="zh-CN"/>
        </w:rPr>
        <w:t>1.公检法系统2.纪检监察部门3.企业4.会计师事务所5.律师事务所</w:t>
      </w:r>
      <w:r>
        <w:rPr>
          <w:rFonts w:hint="eastAsia" w:ascii="仿宋_GB2312" w:hAnsi="仿宋_GB2312" w:eastAsia="仿宋_GB2312" w:cs="仿宋_GB2312"/>
          <w:sz w:val="32"/>
          <w:szCs w:val="32"/>
          <w:lang w:val="en-US" w:eastAsia="zh-CN"/>
        </w:rPr>
        <w:t>。有多名优秀毕业生通过法律职业资格考试与取得会计从业资格证，进入到相关单位工作。其中我院一名18级毕业生，因是法务会计专业，入职安徽皖能集团旗下的合肥皖能燃气发电有限责任公司审计合规部。</w:t>
      </w:r>
    </w:p>
    <w:p w14:paraId="3DDA7934">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eastAsia="仿宋_GB2312"/>
          <w:sz w:val="32"/>
          <w:szCs w:val="32"/>
        </w:rPr>
      </w:pPr>
    </w:p>
    <w:p w14:paraId="3366695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14:paraId="2AC442B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14:paraId="7B507A9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14:paraId="0698163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14:paraId="352765B2">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仿宋"/>
          <w:sz w:val="32"/>
          <w:szCs w:val="32"/>
        </w:rPr>
      </w:pPr>
    </w:p>
    <w:sectPr>
      <w:pgSz w:w="11906" w:h="16838"/>
      <w:pgMar w:top="2098" w:right="1587"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B137E4-21D3-42B2-A23D-55B5B91749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59834F98-FC4E-4214-8622-960856943448}"/>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232A454B-CFAF-4F47-A78B-10B2CAA7A9B5}"/>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embedRegular r:id="rId4" w:fontKey="{5D2096F5-A22D-47CB-8939-2EA02962E02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776C3"/>
    <w:multiLevelType w:val="singleLevel"/>
    <w:tmpl w:val="ABE776C3"/>
    <w:lvl w:ilvl="0" w:tentative="0">
      <w:start w:val="1"/>
      <w:numFmt w:val="chineseCounting"/>
      <w:suff w:val="nothing"/>
      <w:lvlText w:val="%1、"/>
      <w:lvlJc w:val="left"/>
      <w:rPr>
        <w:rFonts w:hint="eastAsia"/>
      </w:rPr>
    </w:lvl>
  </w:abstractNum>
  <w:abstractNum w:abstractNumId="1">
    <w:nsid w:val="E0623C17"/>
    <w:multiLevelType w:val="singleLevel"/>
    <w:tmpl w:val="E0623C17"/>
    <w:lvl w:ilvl="0" w:tentative="0">
      <w:start w:val="2"/>
      <w:numFmt w:val="chineseCounting"/>
      <w:suff w:val="nothing"/>
      <w:lvlText w:val="（%1）"/>
      <w:lvlJc w:val="left"/>
      <w:rPr>
        <w:rFonts w:hint="eastAsia"/>
      </w:rPr>
    </w:lvl>
  </w:abstractNum>
  <w:abstractNum w:abstractNumId="2">
    <w:nsid w:val="F221E259"/>
    <w:multiLevelType w:val="singleLevel"/>
    <w:tmpl w:val="F221E259"/>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wOTU1MDAxZDU4ZDNjNjQ1MmI2MjIxMzE2MTI5MDUifQ=="/>
  </w:docVars>
  <w:rsids>
    <w:rsidRoot w:val="00237971"/>
    <w:rsid w:val="00237971"/>
    <w:rsid w:val="00386764"/>
    <w:rsid w:val="00595836"/>
    <w:rsid w:val="005D15BE"/>
    <w:rsid w:val="00674DA5"/>
    <w:rsid w:val="00681BED"/>
    <w:rsid w:val="0083572F"/>
    <w:rsid w:val="00964104"/>
    <w:rsid w:val="00A2421A"/>
    <w:rsid w:val="00CB694B"/>
    <w:rsid w:val="00E146A9"/>
    <w:rsid w:val="02960A5A"/>
    <w:rsid w:val="070D04BC"/>
    <w:rsid w:val="0F332185"/>
    <w:rsid w:val="19D76D7C"/>
    <w:rsid w:val="1B1D4C62"/>
    <w:rsid w:val="1B580A0A"/>
    <w:rsid w:val="1EB62EED"/>
    <w:rsid w:val="28D34692"/>
    <w:rsid w:val="2CE156AD"/>
    <w:rsid w:val="3C4A29EA"/>
    <w:rsid w:val="3D77781F"/>
    <w:rsid w:val="483E32EB"/>
    <w:rsid w:val="5D8532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4"/>
    <w:basedOn w:val="1"/>
    <w:autoRedefine/>
    <w:qFormat/>
    <w:uiPriority w:val="0"/>
    <w:pPr>
      <w:keepNext/>
      <w:widowControl/>
      <w:adjustRightInd w:val="0"/>
      <w:snapToGrid w:val="0"/>
      <w:spacing w:line="300" w:lineRule="auto"/>
      <w:ind w:firstLine="562" w:firstLineChars="200"/>
      <w:outlineLvl w:val="3"/>
    </w:pPr>
    <w:rPr>
      <w:rFonts w:ascii="宋体" w:hAnsi="宋体" w:eastAsia="宋体" w:cs="仿宋"/>
      <w:b/>
      <w:bCs/>
      <w:color w:val="000000" w:themeColor="text1"/>
      <w:sz w:val="28"/>
      <w:szCs w:val="28"/>
    </w:rPr>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 w:type="character" w:customStyle="1" w:styleId="9">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1094</Words>
  <Characters>1170</Characters>
  <Lines>10</Lines>
  <Paragraphs>2</Paragraphs>
  <TotalTime>2</TotalTime>
  <ScaleCrop>false</ScaleCrop>
  <LinksUpToDate>false</LinksUpToDate>
  <CharactersWithSpaces>1180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2024-10-24T02:38:00Z</dcterms:created>
  <dc:creator>HP</dc:creator>
  <cp:lastModifiedBy>曹咩咩</cp:lastModifiedBy>
  <dcterms:modified xsi:type="dcterms:W3CDTF">2025-03-19T10:16:19Z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783EB128F8B84162A0042055EF09EE10_13</vt:lpwstr>
  </property>
  <property fmtid="{D5CDD505-2E9C-101B-9397-08002B2CF9AE}" pid="4" name="KSOTemplateDocerSaveRecord">
    <vt:lpwstr>eyJoZGlkIjoiNTNkYTA0NjUxZWU1MDQzMTJlNWEzNjg2ZjMyMGRhY2UiLCJ1c2VySWQiOiI5MzA2MDI3MzkifQ==</vt:lpwstr>
  </property>
</Properties>
</file>