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line="480" w:lineRule="auto"/>
        <w:ind w:right="590" w:firstLine="321" w:firstLineChars="100"/>
        <w:jc w:val="center"/>
        <w:rPr>
          <w:rFonts w:hint="eastAsia" w:cs="黑体" w:asciiTheme="majorEastAsia" w:hAnsiTheme="majorEastAsia" w:eastAsiaTheme="majorEastAsia"/>
          <w:b/>
          <w:bCs/>
          <w:sz w:val="32"/>
          <w:szCs w:val="32"/>
          <w:lang w:val="en-US" w:eastAsia="zh-CN"/>
        </w:rPr>
      </w:pPr>
      <w:r>
        <w:rPr>
          <w:rFonts w:hint="eastAsia" w:cs="黑体" w:asciiTheme="majorEastAsia" w:hAnsiTheme="majorEastAsia" w:eastAsiaTheme="majorEastAsia"/>
          <w:b/>
          <w:bCs/>
          <w:sz w:val="32"/>
          <w:szCs w:val="32"/>
          <w:lang w:val="en-US" w:eastAsia="zh-CN"/>
        </w:rPr>
        <w:t>2024年一带一路暨金砖国家技能发展与技术创新大赛</w:t>
      </w:r>
    </w:p>
    <w:p>
      <w:pPr>
        <w:keepNext w:val="0"/>
        <w:keepLines w:val="0"/>
        <w:pageBreakBefore w:val="0"/>
        <w:widowControl w:val="0"/>
        <w:kinsoku/>
        <w:wordWrap/>
        <w:overflowPunct/>
        <w:topLinePunct w:val="0"/>
        <w:autoSpaceDE w:val="0"/>
        <w:autoSpaceDN w:val="0"/>
        <w:bidi w:val="0"/>
        <w:adjustRightInd/>
        <w:snapToGrid/>
        <w:spacing w:before="0" w:line="480" w:lineRule="auto"/>
        <w:ind w:right="590" w:firstLine="442" w:firstLineChars="100"/>
        <w:jc w:val="center"/>
        <w:rPr>
          <w:rFonts w:hint="eastAsia" w:cs="黑体" w:asciiTheme="majorEastAsia" w:hAnsiTheme="majorEastAsia" w:eastAsiaTheme="majorEastAsia"/>
          <w:b/>
          <w:bCs/>
          <w:sz w:val="44"/>
          <w:szCs w:val="44"/>
          <w:lang w:val="en-US" w:eastAsia="zh-CN"/>
        </w:rPr>
      </w:pPr>
      <w:r>
        <w:rPr>
          <w:rFonts w:hint="eastAsia" w:cs="黑体" w:asciiTheme="majorEastAsia" w:hAnsiTheme="majorEastAsia" w:eastAsiaTheme="majorEastAsia"/>
          <w:b/>
          <w:bCs/>
          <w:sz w:val="44"/>
          <w:szCs w:val="44"/>
          <w:lang w:val="en-US" w:eastAsia="zh-CN"/>
        </w:rPr>
        <w:t>（大数据分析应用与决策赛项）</w:t>
      </w:r>
    </w:p>
    <w:p>
      <w:pPr>
        <w:keepNext w:val="0"/>
        <w:keepLines w:val="0"/>
        <w:pageBreakBefore w:val="0"/>
        <w:widowControl w:val="0"/>
        <w:kinsoku/>
        <w:wordWrap/>
        <w:overflowPunct/>
        <w:topLinePunct w:val="0"/>
        <w:autoSpaceDE w:val="0"/>
        <w:autoSpaceDN w:val="0"/>
        <w:bidi w:val="0"/>
        <w:adjustRightInd/>
        <w:snapToGrid/>
        <w:spacing w:before="0" w:line="480" w:lineRule="auto"/>
        <w:ind w:right="590" w:firstLine="442" w:firstLineChars="100"/>
        <w:jc w:val="center"/>
        <w:rPr>
          <w:rFonts w:hint="eastAsia" w:cs="黑体" w:asciiTheme="majorEastAsia" w:hAnsiTheme="majorEastAsia" w:eastAsiaTheme="majorEastAsia"/>
          <w:b/>
          <w:bCs/>
          <w:sz w:val="44"/>
          <w:szCs w:val="44"/>
          <w:lang w:val="en-US" w:eastAsia="zh-CN"/>
        </w:rPr>
      </w:pPr>
    </w:p>
    <w:p>
      <w:pPr>
        <w:keepNext w:val="0"/>
        <w:keepLines w:val="0"/>
        <w:pageBreakBefore w:val="0"/>
        <w:widowControl w:val="0"/>
        <w:kinsoku/>
        <w:wordWrap/>
        <w:overflowPunct/>
        <w:topLinePunct w:val="0"/>
        <w:autoSpaceDE w:val="0"/>
        <w:autoSpaceDN w:val="0"/>
        <w:bidi w:val="0"/>
        <w:adjustRightInd/>
        <w:snapToGrid/>
        <w:spacing w:before="0" w:line="480" w:lineRule="auto"/>
        <w:ind w:right="590" w:firstLine="442" w:firstLineChars="100"/>
        <w:jc w:val="center"/>
        <w:rPr>
          <w:rFonts w:hint="eastAsia" w:cs="黑体" w:asciiTheme="majorEastAsia" w:hAnsiTheme="majorEastAsia" w:eastAsiaTheme="majorEastAsia"/>
          <w:b/>
          <w:bCs/>
          <w:sz w:val="44"/>
          <w:szCs w:val="44"/>
          <w:lang w:val="en-US" w:eastAsia="zh-CN"/>
        </w:rPr>
      </w:pPr>
      <w:r>
        <w:rPr>
          <w:rFonts w:hint="eastAsia" w:cs="黑体" w:asciiTheme="majorEastAsia" w:hAnsiTheme="majorEastAsia" w:eastAsiaTheme="majorEastAsia"/>
          <w:b/>
          <w:bCs/>
          <w:sz w:val="44"/>
          <w:szCs w:val="44"/>
          <w:lang w:val="en-US" w:eastAsia="zh-CN"/>
        </w:rPr>
        <w:t>人力赛道、营销赛道</w:t>
      </w:r>
    </w:p>
    <w:p>
      <w:pPr>
        <w:keepNext w:val="0"/>
        <w:keepLines w:val="0"/>
        <w:pageBreakBefore w:val="0"/>
        <w:widowControl w:val="0"/>
        <w:kinsoku/>
        <w:wordWrap/>
        <w:overflowPunct/>
        <w:topLinePunct w:val="0"/>
        <w:autoSpaceDE w:val="0"/>
        <w:autoSpaceDN w:val="0"/>
        <w:bidi w:val="0"/>
        <w:adjustRightInd/>
        <w:snapToGrid/>
        <w:spacing w:before="0" w:line="480" w:lineRule="auto"/>
        <w:ind w:right="590" w:firstLine="442" w:firstLineChars="100"/>
        <w:jc w:val="center"/>
        <w:rPr>
          <w:rFonts w:hint="eastAsia" w:ascii="黑体" w:eastAsia="黑体"/>
          <w:b/>
          <w:sz w:val="52"/>
        </w:rPr>
      </w:pPr>
      <w:r>
        <w:rPr>
          <w:rFonts w:hint="eastAsia" w:cs="黑体" w:asciiTheme="majorEastAsia" w:hAnsiTheme="majorEastAsia" w:eastAsiaTheme="majorEastAsia"/>
          <w:b/>
          <w:bCs/>
          <w:sz w:val="44"/>
          <w:szCs w:val="44"/>
        </w:rPr>
        <w:t>校内选拔赛</w:t>
      </w:r>
    </w:p>
    <w:p>
      <w:pPr>
        <w:pStyle w:val="4"/>
        <w:keepNext w:val="0"/>
        <w:keepLines w:val="0"/>
        <w:pageBreakBefore w:val="0"/>
        <w:widowControl w:val="0"/>
        <w:kinsoku/>
        <w:wordWrap/>
        <w:overflowPunct/>
        <w:topLinePunct w:val="0"/>
        <w:autoSpaceDE w:val="0"/>
        <w:autoSpaceDN w:val="0"/>
        <w:bidi w:val="0"/>
        <w:adjustRightInd/>
        <w:snapToGrid/>
        <w:spacing w:before="4" w:line="480" w:lineRule="auto"/>
        <w:rPr>
          <w:rFonts w:ascii="黑体"/>
          <w:b/>
        </w:rPr>
      </w:pPr>
      <w:bookmarkStart w:id="0" w:name="BRICS2024-ST-061"/>
      <w:bookmarkEnd w:id="0"/>
    </w:p>
    <w:p>
      <w:pPr>
        <w:keepNext w:val="0"/>
        <w:keepLines w:val="0"/>
        <w:pageBreakBefore w:val="0"/>
        <w:widowControl w:val="0"/>
        <w:kinsoku/>
        <w:wordWrap/>
        <w:overflowPunct/>
        <w:topLinePunct w:val="0"/>
        <w:autoSpaceDE w:val="0"/>
        <w:autoSpaceDN w:val="0"/>
        <w:bidi w:val="0"/>
        <w:adjustRightInd/>
        <w:snapToGrid/>
        <w:spacing w:before="0" w:line="480" w:lineRule="auto"/>
        <w:ind w:right="590" w:firstLine="723" w:firstLineChars="100"/>
        <w:jc w:val="center"/>
        <w:rPr>
          <w:rFonts w:hint="eastAsia" w:cs="黑体" w:asciiTheme="majorEastAsia" w:hAnsiTheme="majorEastAsia" w:eastAsiaTheme="majorEastAsia"/>
          <w:b/>
          <w:bCs/>
          <w:sz w:val="72"/>
          <w:szCs w:val="72"/>
        </w:rPr>
      </w:pPr>
    </w:p>
    <w:p>
      <w:pPr>
        <w:keepNext w:val="0"/>
        <w:keepLines w:val="0"/>
        <w:pageBreakBefore w:val="0"/>
        <w:widowControl w:val="0"/>
        <w:kinsoku/>
        <w:wordWrap/>
        <w:overflowPunct/>
        <w:topLinePunct w:val="0"/>
        <w:autoSpaceDE w:val="0"/>
        <w:autoSpaceDN w:val="0"/>
        <w:bidi w:val="0"/>
        <w:adjustRightInd/>
        <w:snapToGrid/>
        <w:spacing w:before="0" w:line="480" w:lineRule="auto"/>
        <w:ind w:right="590"/>
        <w:jc w:val="center"/>
        <w:rPr>
          <w:rFonts w:hint="eastAsia" w:cs="黑体" w:asciiTheme="majorEastAsia" w:hAnsiTheme="majorEastAsia" w:eastAsiaTheme="majorEastAsia"/>
          <w:b/>
          <w:bCs/>
          <w:sz w:val="72"/>
          <w:szCs w:val="72"/>
        </w:rPr>
      </w:pPr>
      <w:r>
        <w:rPr>
          <w:rFonts w:hint="eastAsia" w:cs="黑体" w:asciiTheme="majorEastAsia" w:hAnsiTheme="majorEastAsia" w:eastAsiaTheme="majorEastAsia"/>
          <w:b/>
          <w:bCs/>
          <w:sz w:val="72"/>
          <w:szCs w:val="72"/>
          <w:lang w:val="en-US" w:eastAsia="zh-CN"/>
        </w:rPr>
        <w:t xml:space="preserve">  </w:t>
      </w:r>
      <w:r>
        <w:rPr>
          <w:rFonts w:hint="eastAsia" w:cs="黑体" w:asciiTheme="majorEastAsia" w:hAnsiTheme="majorEastAsia" w:eastAsiaTheme="majorEastAsia"/>
          <w:b/>
          <w:bCs/>
          <w:sz w:val="72"/>
          <w:szCs w:val="72"/>
        </w:rPr>
        <w:t>技术规程</w:t>
      </w:r>
    </w:p>
    <w:p/>
    <w:p/>
    <w:p/>
    <w:p/>
    <w:p/>
    <w:p/>
    <w:p/>
    <w:p/>
    <w:p/>
    <w:p/>
    <w:p/>
    <w:p/>
    <w:p/>
    <w:p/>
    <w:p/>
    <w:p/>
    <w:p/>
    <w:p/>
    <w:p/>
    <w:p>
      <w:pPr>
        <w:pStyle w:val="2"/>
        <w:spacing w:before="31"/>
        <w:ind w:left="0" w:leftChars="0" w:firstLine="0" w:firstLineChars="0"/>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6658" w:rightChars="0" w:firstLine="1506" w:firstLineChars="500"/>
        <w:jc w:val="both"/>
        <w:rPr>
          <w:rFonts w:hint="eastAsia"/>
          <w:lang w:val="en-US" w:eastAsia="zh-CN"/>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6658" w:rightChars="0" w:firstLine="1506" w:firstLineChars="500"/>
        <w:jc w:val="both"/>
        <w:rPr>
          <w:rFonts w:hint="eastAsia"/>
          <w:lang w:val="en-US" w:eastAsia="zh-CN"/>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6658" w:rightChars="0"/>
        <w:jc w:val="both"/>
        <w:rPr>
          <w:rFonts w:hint="eastAsia"/>
          <w:lang w:val="en-US" w:eastAsia="zh-CN"/>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right="-54" w:rightChars="0" w:firstLine="602" w:firstLineChars="200"/>
        <w:jc w:val="both"/>
        <w:rPr>
          <w:rFonts w:hint="eastAsia"/>
          <w:lang w:val="en-US" w:eastAsia="zh-CN"/>
        </w:rPr>
      </w:pPr>
      <w:r>
        <w:rPr>
          <w:rFonts w:hint="eastAsia"/>
          <w:lang w:val="en-US" w:eastAsia="zh-CN"/>
        </w:rPr>
        <w:t>一、比赛主题</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right="-53" w:rightChars="-24" w:firstLine="548" w:firstLineChars="200"/>
        <w:rPr>
          <w:rFonts w:hint="eastAsia" w:ascii="仿宋" w:hAnsi="仿宋" w:eastAsia="仿宋" w:cs="仿宋"/>
          <w:b w:val="0"/>
          <w:bCs w:val="0"/>
          <w:spacing w:val="-3"/>
          <w:sz w:val="28"/>
          <w:szCs w:val="28"/>
          <w:lang w:val="en-US" w:eastAsia="zh-CN" w:bidi="zh-CN"/>
        </w:rPr>
      </w:pPr>
      <w:r>
        <w:rPr>
          <w:rFonts w:hint="eastAsia" w:ascii="仿宋" w:hAnsi="仿宋" w:eastAsia="仿宋" w:cs="仿宋"/>
          <w:b w:val="0"/>
          <w:bCs w:val="0"/>
          <w:spacing w:val="-3"/>
          <w:sz w:val="28"/>
          <w:szCs w:val="28"/>
          <w:lang w:val="en-US" w:eastAsia="zh-CN" w:bidi="zh-CN"/>
        </w:rPr>
        <w:t>为了满足数字经济时代对人才培养质量的新要求，激发学生对于大数据理论学习和实践操作的热情，为社会培养懂得大数据分析理念、技术平台、业务工具、工作方法的人才，同时选拔学生参加2024年大数据分析应用与决策赛项省赛，由教务处举办，工商管理学院、研究会联合承办我校第一届一带一路暨金砖国家技能发展与技术创新大赛（大数据分析应用与决策赛项人力赛道和营销赛道）（B类赛事）校内赛。</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right="-53" w:rightChars="-24" w:firstLine="602" w:firstLineChars="200"/>
        <w:rPr>
          <w:rFonts w:hint="eastAsia"/>
          <w:lang w:val="en-US" w:eastAsia="zh-CN"/>
        </w:rPr>
      </w:pPr>
      <w:bookmarkStart w:id="2" w:name="_GoBack"/>
      <w:bookmarkEnd w:id="2"/>
      <w:r>
        <w:rPr>
          <w:rFonts w:hint="eastAsia"/>
          <w:lang w:val="en-US" w:eastAsia="zh-CN"/>
        </w:rPr>
        <w:t>二、大赛形式及赛道设置</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right="-53" w:rightChars="-24" w:firstLine="548" w:firstLineChars="200"/>
        <w:rPr>
          <w:rFonts w:hint="eastAsia" w:ascii="仿宋" w:hAnsi="仿宋" w:eastAsia="仿宋" w:cs="仿宋"/>
          <w:b w:val="0"/>
          <w:bCs w:val="0"/>
          <w:spacing w:val="-3"/>
          <w:sz w:val="28"/>
          <w:szCs w:val="28"/>
          <w:lang w:val="en-US" w:eastAsia="zh-CN" w:bidi="zh-CN"/>
        </w:rPr>
      </w:pPr>
      <w:r>
        <w:rPr>
          <w:rFonts w:hint="eastAsia" w:ascii="仿宋" w:hAnsi="仿宋" w:eastAsia="仿宋" w:cs="仿宋"/>
          <w:b w:val="0"/>
          <w:bCs w:val="0"/>
          <w:spacing w:val="-3"/>
          <w:sz w:val="28"/>
          <w:szCs w:val="28"/>
          <w:lang w:val="en-US" w:eastAsia="zh-CN" w:bidi="zh-CN"/>
        </w:rPr>
        <w:t>大数据分析应用与决策赛项校内选拔赛采取线下竞赛的形式。本校赛赛项设置2个赛道:人力大数据赛道、营销大数据赛道。</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right="-53" w:rightChars="-24" w:firstLine="602" w:firstLineChars="200"/>
        <w:rPr>
          <w:rFonts w:hint="eastAsia"/>
          <w:lang w:val="en-US" w:eastAsia="zh-CN"/>
        </w:rPr>
      </w:pPr>
      <w:r>
        <w:rPr>
          <w:rFonts w:hint="eastAsia"/>
          <w:lang w:val="en-US" w:eastAsia="zh-CN"/>
        </w:rPr>
        <w:t>三、参赛对象</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right="-53" w:rightChars="-24" w:firstLine="548" w:firstLineChars="200"/>
        <w:rPr>
          <w:rFonts w:hint="eastAsia" w:ascii="仿宋" w:hAnsi="仿宋" w:eastAsia="仿宋" w:cs="仿宋"/>
          <w:b w:val="0"/>
          <w:bCs w:val="0"/>
          <w:spacing w:val="-3"/>
          <w:sz w:val="28"/>
          <w:szCs w:val="28"/>
          <w:lang w:val="en-US" w:eastAsia="zh-CN" w:bidi="zh-CN"/>
        </w:rPr>
      </w:pPr>
      <w:r>
        <w:rPr>
          <w:rFonts w:hint="eastAsia" w:ascii="仿宋" w:hAnsi="仿宋" w:eastAsia="仿宋" w:cs="仿宋"/>
          <w:b w:val="0"/>
          <w:bCs w:val="0"/>
          <w:spacing w:val="-3"/>
          <w:sz w:val="28"/>
          <w:szCs w:val="28"/>
          <w:lang w:val="en-US" w:eastAsia="zh-CN" w:bidi="zh-CN"/>
        </w:rPr>
        <w:t>安徽财经大学截止至 2024 年 12 月 30 日的在籍全日制本科。校赛采取团队竞赛的方式。每个参赛队伍由4名学生组成，其中1名队长，3名普通队员。</w:t>
      </w:r>
    </w:p>
    <w:p>
      <w:pPr>
        <w:pStyle w:val="2"/>
        <w:keepNext w:val="0"/>
        <w:keepLines w:val="0"/>
        <w:pageBreakBefore w:val="0"/>
        <w:widowControl w:val="0"/>
        <w:numPr>
          <w:ilvl w:val="0"/>
          <w:numId w:val="0"/>
        </w:numPr>
        <w:wordWrap/>
        <w:overflowPunct/>
        <w:topLinePunct w:val="0"/>
        <w:autoSpaceDE w:val="0"/>
        <w:autoSpaceDN w:val="0"/>
        <w:bidi w:val="0"/>
        <w:adjustRightInd/>
        <w:snapToGrid/>
        <w:spacing w:before="0" w:line="520" w:lineRule="exact"/>
        <w:ind w:right="-53" w:rightChars="-24"/>
        <w:jc w:val="both"/>
        <w:rPr>
          <w:rFonts w:hint="eastAsia"/>
          <w:lang w:val="en-US" w:eastAsia="zh-CN"/>
        </w:rPr>
      </w:pPr>
      <w:r>
        <w:rPr>
          <w:rFonts w:hint="eastAsia"/>
          <w:lang w:val="en-US" w:eastAsia="zh-CN"/>
        </w:rPr>
        <w:t xml:space="preserve">    四、竞赛内容</w:t>
      </w:r>
    </w:p>
    <w:p>
      <w:pPr>
        <w:pStyle w:val="2"/>
        <w:keepNext w:val="0"/>
        <w:keepLines w:val="0"/>
        <w:pageBreakBefore w:val="0"/>
        <w:widowControl w:val="0"/>
        <w:numPr>
          <w:ilvl w:val="0"/>
          <w:numId w:val="0"/>
        </w:numPr>
        <w:wordWrap/>
        <w:overflowPunct/>
        <w:topLinePunct w:val="0"/>
        <w:autoSpaceDE w:val="0"/>
        <w:autoSpaceDN w:val="0"/>
        <w:bidi w:val="0"/>
        <w:adjustRightInd/>
        <w:snapToGrid/>
        <w:spacing w:before="0" w:line="520" w:lineRule="exact"/>
        <w:ind w:right="-53" w:rightChars="-24"/>
        <w:jc w:val="both"/>
        <w:rPr>
          <w:rFonts w:hint="eastAsia"/>
          <w:lang w:val="en-US" w:eastAsia="zh-CN"/>
        </w:rPr>
      </w:pPr>
      <w:r>
        <w:rPr>
          <w:rFonts w:hint="eastAsia" w:cs="仿宋"/>
          <w:b w:val="0"/>
          <w:spacing w:val="-3"/>
          <w:sz w:val="28"/>
          <w:lang w:val="en-US" w:eastAsia="zh-CN" w:bidi="zh-CN"/>
        </w:rPr>
        <w:t xml:space="preserve">    </w:t>
      </w:r>
      <w:r>
        <w:rPr>
          <w:rFonts w:hint="eastAsia" w:ascii="仿宋" w:hAnsi="仿宋" w:eastAsia="仿宋" w:cs="仿宋"/>
          <w:b w:val="0"/>
          <w:spacing w:val="-3"/>
          <w:sz w:val="28"/>
          <w:lang w:val="en-US" w:eastAsia="zh-CN" w:bidi="zh-CN"/>
        </w:rPr>
        <w:t>参赛团队在截至时间内提交案例分析报告。经初选入围决赛的团队，人力赛道和营销赛道均采用案例分析报告现场答辩，专家评委组评分模式。主要考察学生结合给定的企业案例与数据，利用</w:t>
      </w:r>
      <w:r>
        <w:rPr>
          <w:rFonts w:hint="eastAsia" w:ascii="仿宋" w:hAnsi="仿宋" w:eastAsia="仿宋" w:cs="仿宋"/>
          <w:b w:val="0"/>
          <w:bCs w:val="0"/>
          <w:spacing w:val="-3"/>
          <w:sz w:val="28"/>
          <w:szCs w:val="28"/>
          <w:lang w:val="en-US" w:eastAsia="zh-CN" w:bidi="zh-CN"/>
        </w:rPr>
        <w:t>大数据工具，基于“场景理解-业务需求分析-数据处理-分析与挖掘-建议方案”思路，撰写大数据分析报告、讲解呈现分析报告等的综合能力。</w:t>
      </w:r>
    </w:p>
    <w:p>
      <w:pPr>
        <w:pStyle w:val="2"/>
        <w:keepNext w:val="0"/>
        <w:keepLines w:val="0"/>
        <w:pageBreakBefore w:val="0"/>
        <w:widowControl w:val="0"/>
        <w:numPr>
          <w:ilvl w:val="0"/>
          <w:numId w:val="0"/>
        </w:numPr>
        <w:wordWrap/>
        <w:overflowPunct/>
        <w:topLinePunct w:val="0"/>
        <w:autoSpaceDE w:val="0"/>
        <w:autoSpaceDN w:val="0"/>
        <w:bidi w:val="0"/>
        <w:adjustRightInd/>
        <w:snapToGrid/>
        <w:spacing w:before="0" w:line="520" w:lineRule="exact"/>
        <w:ind w:right="-53" w:rightChars="-24"/>
        <w:jc w:val="both"/>
        <w:rPr>
          <w:rFonts w:hint="eastAsia"/>
          <w:lang w:val="en-US" w:eastAsia="zh-CN"/>
        </w:rPr>
      </w:pPr>
      <w:r>
        <w:rPr>
          <w:rFonts w:hint="eastAsia" w:ascii="仿宋" w:hAnsi="仿宋" w:eastAsia="仿宋" w:cs="仿宋"/>
          <w:b/>
          <w:bCs/>
          <w:spacing w:val="-3"/>
          <w:sz w:val="28"/>
          <w:szCs w:val="28"/>
          <w:lang w:val="en-US" w:eastAsia="zh-CN" w:bidi="zh-CN"/>
        </w:rPr>
        <w:t xml:space="preserve">    （1）比赛时间：</w:t>
      </w:r>
      <w:r>
        <w:rPr>
          <w:rFonts w:hint="eastAsia" w:ascii="仿宋" w:hAnsi="仿宋" w:eastAsia="仿宋" w:cs="仿宋"/>
          <w:b w:val="0"/>
          <w:bCs w:val="0"/>
          <w:spacing w:val="-3"/>
          <w:sz w:val="28"/>
          <w:szCs w:val="28"/>
          <w:lang w:val="en-US" w:eastAsia="zh-CN" w:bidi="zh-CN"/>
        </w:rPr>
        <w:t>案例分析报告采用团队答辩模式，一般每个小组 15 分钟，其中案例展示 10 分钟，答辩 5 分钟</w:t>
      </w:r>
      <w:r>
        <w:rPr>
          <w:rFonts w:hint="eastAsia" w:cs="仿宋"/>
          <w:b w:val="0"/>
          <w:bCs w:val="0"/>
          <w:spacing w:val="-3"/>
          <w:sz w:val="28"/>
          <w:szCs w:val="28"/>
          <w:lang w:val="en-US" w:eastAsia="zh-CN" w:bidi="zh-CN"/>
        </w:rPr>
        <w:t>。</w:t>
      </w:r>
    </w:p>
    <w:p>
      <w:pPr>
        <w:pStyle w:val="2"/>
        <w:keepNext w:val="0"/>
        <w:keepLines w:val="0"/>
        <w:pageBreakBefore w:val="0"/>
        <w:widowControl w:val="0"/>
        <w:numPr>
          <w:ilvl w:val="0"/>
          <w:numId w:val="0"/>
        </w:numPr>
        <w:wordWrap/>
        <w:overflowPunct/>
        <w:topLinePunct w:val="0"/>
        <w:autoSpaceDE w:val="0"/>
        <w:autoSpaceDN w:val="0"/>
        <w:bidi w:val="0"/>
        <w:adjustRightInd/>
        <w:snapToGrid/>
        <w:spacing w:before="0" w:line="520" w:lineRule="exact"/>
        <w:ind w:right="-53" w:rightChars="-24"/>
        <w:jc w:val="both"/>
        <w:rPr>
          <w:rFonts w:hint="eastAsia"/>
          <w:lang w:val="en-US" w:eastAsia="zh-CN"/>
        </w:rPr>
      </w:pPr>
      <w:r>
        <w:rPr>
          <w:rFonts w:hint="eastAsia" w:ascii="仿宋" w:hAnsi="仿宋" w:eastAsia="仿宋" w:cs="仿宋"/>
          <w:b/>
          <w:bCs/>
          <w:spacing w:val="-3"/>
          <w:sz w:val="28"/>
          <w:szCs w:val="28"/>
          <w:lang w:val="en-US" w:eastAsia="zh-CN" w:bidi="zh-CN"/>
        </w:rPr>
        <w:t xml:space="preserve">   （2）评分方式：</w:t>
      </w:r>
      <w:r>
        <w:rPr>
          <w:rFonts w:hint="eastAsia" w:ascii="仿宋" w:hAnsi="仿宋" w:eastAsia="仿宋" w:cs="仿宋"/>
          <w:b w:val="0"/>
          <w:bCs w:val="0"/>
          <w:spacing w:val="-3"/>
          <w:sz w:val="28"/>
          <w:szCs w:val="28"/>
          <w:lang w:val="en-US" w:eastAsia="zh-CN" w:bidi="zh-CN"/>
        </w:rPr>
        <w:t>案析报告答辩成绩由专家评委组考核评出，具体评分标准详见评例分分细则表，专家评委组由 N 位成员组成，案例分析报告答辩成绩（团队）取 N 位专家给定分数的平均分。案例分析报告答辩成绩（团队）=（评委 1 成绩+…+ 评委N 成绩）/N。</w:t>
      </w:r>
    </w:p>
    <w:p>
      <w:pPr>
        <w:pStyle w:val="2"/>
        <w:keepNext w:val="0"/>
        <w:keepLines w:val="0"/>
        <w:pageBreakBefore w:val="0"/>
        <w:widowControl w:val="0"/>
        <w:numPr>
          <w:ilvl w:val="0"/>
          <w:numId w:val="0"/>
        </w:numPr>
        <w:wordWrap/>
        <w:overflowPunct/>
        <w:topLinePunct w:val="0"/>
        <w:autoSpaceDE w:val="0"/>
        <w:autoSpaceDN w:val="0"/>
        <w:bidi w:val="0"/>
        <w:adjustRightInd/>
        <w:snapToGrid/>
        <w:spacing w:before="0" w:line="520" w:lineRule="exact"/>
        <w:ind w:right="-53" w:rightChars="-24"/>
        <w:jc w:val="both"/>
        <w:rPr>
          <w:rFonts w:hint="eastAsia"/>
          <w:lang w:val="en-US" w:eastAsia="zh-CN"/>
        </w:rPr>
      </w:pPr>
      <w:r>
        <w:rPr>
          <w:rFonts w:hint="eastAsia" w:ascii="仿宋" w:hAnsi="仿宋" w:eastAsia="仿宋" w:cs="仿宋"/>
          <w:b w:val="0"/>
          <w:spacing w:val="-3"/>
          <w:sz w:val="28"/>
          <w:lang w:val="en-US" w:eastAsia="zh-CN" w:bidi="zh-CN"/>
        </w:rPr>
        <w:t xml:space="preserve">  </w:t>
      </w:r>
      <w:r>
        <w:rPr>
          <w:rFonts w:hint="eastAsia" w:ascii="仿宋" w:hAnsi="仿宋" w:eastAsia="仿宋" w:cs="仿宋"/>
          <w:b/>
          <w:bCs w:val="0"/>
          <w:spacing w:val="-3"/>
          <w:sz w:val="28"/>
          <w:lang w:val="en-US" w:eastAsia="zh-CN" w:bidi="zh-CN"/>
        </w:rPr>
        <w:t xml:space="preserve">   （3）最终成绩：</w:t>
      </w:r>
      <w:r>
        <w:rPr>
          <w:rFonts w:hint="eastAsia" w:ascii="仿宋" w:hAnsi="仿宋" w:eastAsia="仿宋" w:cs="仿宋"/>
          <w:b w:val="0"/>
          <w:spacing w:val="-3"/>
          <w:sz w:val="28"/>
          <w:lang w:val="en-US" w:eastAsia="zh-CN" w:bidi="zh-CN"/>
        </w:rPr>
        <w:t>竞赛排名根据总成绩从高分到低分排名（保留小数两位）确定名次， 总成绩相同时，以案例分析报告成绩靠前者为先。</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right="-53" w:rightChars="-24"/>
        <w:jc w:val="both"/>
        <w:rPr>
          <w:rFonts w:hint="eastAsia"/>
          <w:lang w:val="en-US" w:eastAsia="zh-CN"/>
        </w:rPr>
      </w:pPr>
      <w:r>
        <w:rPr>
          <w:rFonts w:hint="eastAsia" w:ascii="仿宋" w:hAnsi="仿宋" w:eastAsia="仿宋" w:cs="仿宋"/>
          <w:b/>
          <w:bCs/>
          <w:spacing w:val="-3"/>
          <w:sz w:val="28"/>
          <w:szCs w:val="28"/>
          <w:lang w:val="en-US" w:eastAsia="zh-CN" w:bidi="zh-CN"/>
        </w:rPr>
        <w:t xml:space="preserve">     （4）评分标准：</w:t>
      </w:r>
    </w:p>
    <w:tbl>
      <w:tblPr>
        <w:tblStyle w:val="7"/>
        <w:tblpPr w:leftFromText="180" w:rightFromText="180" w:vertAnchor="text" w:horzAnchor="page" w:tblpX="1648" w:tblpY="293"/>
        <w:tblOverlap w:val="never"/>
        <w:tblW w:w="90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5"/>
        <w:gridCol w:w="638"/>
        <w:gridCol w:w="981"/>
        <w:gridCol w:w="60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1385" w:type="dxa"/>
            <w:shd w:val="clear" w:color="auto" w:fill="D6D6D6"/>
            <w:vAlign w:val="center"/>
          </w:tcPr>
          <w:p>
            <w:pPr>
              <w:pStyle w:val="10"/>
              <w:spacing w:before="144"/>
              <w:ind w:left="106"/>
              <w:jc w:val="center"/>
              <w:rPr>
                <w:sz w:val="28"/>
              </w:rPr>
            </w:pPr>
            <w:r>
              <w:rPr>
                <w:sz w:val="28"/>
              </w:rPr>
              <w:t>评分项目</w:t>
            </w:r>
          </w:p>
        </w:tc>
        <w:tc>
          <w:tcPr>
            <w:tcW w:w="1619" w:type="dxa"/>
            <w:gridSpan w:val="2"/>
            <w:shd w:val="clear" w:color="auto" w:fill="D6D6D6"/>
            <w:vAlign w:val="center"/>
          </w:tcPr>
          <w:p>
            <w:pPr>
              <w:pStyle w:val="10"/>
              <w:spacing w:before="144"/>
              <w:ind w:left="668"/>
              <w:jc w:val="center"/>
              <w:rPr>
                <w:sz w:val="28"/>
              </w:rPr>
            </w:pPr>
            <w:r>
              <w:rPr>
                <w:sz w:val="28"/>
              </w:rPr>
              <w:t>分数</w:t>
            </w:r>
          </w:p>
        </w:tc>
        <w:tc>
          <w:tcPr>
            <w:tcW w:w="6094" w:type="dxa"/>
            <w:shd w:val="clear" w:color="auto" w:fill="D6D6D6"/>
            <w:vAlign w:val="center"/>
          </w:tcPr>
          <w:p>
            <w:pPr>
              <w:pStyle w:val="10"/>
              <w:spacing w:before="144"/>
              <w:ind w:right="2565"/>
              <w:jc w:val="center"/>
              <w:rPr>
                <w:sz w:val="28"/>
              </w:rPr>
            </w:pPr>
            <w:r>
              <w:rPr>
                <w:sz w:val="28"/>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1385" w:type="dxa"/>
            <w:vMerge w:val="restart"/>
            <w:vAlign w:val="center"/>
          </w:tcPr>
          <w:p>
            <w:pPr>
              <w:pStyle w:val="10"/>
              <w:jc w:val="left"/>
              <w:rPr>
                <w:sz w:val="24"/>
              </w:rPr>
            </w:pPr>
          </w:p>
          <w:p>
            <w:pPr>
              <w:pStyle w:val="10"/>
              <w:jc w:val="left"/>
              <w:rPr>
                <w:sz w:val="24"/>
              </w:rPr>
            </w:pPr>
          </w:p>
          <w:p>
            <w:pPr>
              <w:pStyle w:val="10"/>
              <w:jc w:val="left"/>
              <w:rPr>
                <w:sz w:val="24"/>
              </w:rPr>
            </w:pPr>
          </w:p>
          <w:p>
            <w:pPr>
              <w:pStyle w:val="10"/>
              <w:jc w:val="left"/>
              <w:rPr>
                <w:sz w:val="24"/>
              </w:rPr>
            </w:pPr>
          </w:p>
          <w:p>
            <w:pPr>
              <w:pStyle w:val="10"/>
              <w:jc w:val="left"/>
              <w:rPr>
                <w:sz w:val="24"/>
              </w:rPr>
            </w:pPr>
          </w:p>
          <w:p>
            <w:pPr>
              <w:pStyle w:val="10"/>
              <w:jc w:val="left"/>
              <w:rPr>
                <w:sz w:val="24"/>
              </w:rPr>
            </w:pPr>
          </w:p>
          <w:p>
            <w:pPr>
              <w:pStyle w:val="10"/>
              <w:jc w:val="left"/>
              <w:rPr>
                <w:sz w:val="24"/>
              </w:rPr>
            </w:pPr>
          </w:p>
          <w:p>
            <w:pPr>
              <w:pStyle w:val="10"/>
              <w:jc w:val="left"/>
              <w:rPr>
                <w:sz w:val="24"/>
              </w:rPr>
            </w:pPr>
          </w:p>
          <w:p>
            <w:pPr>
              <w:pStyle w:val="10"/>
              <w:jc w:val="left"/>
              <w:rPr>
                <w:sz w:val="24"/>
              </w:rPr>
            </w:pPr>
          </w:p>
          <w:p>
            <w:pPr>
              <w:pStyle w:val="10"/>
              <w:jc w:val="left"/>
              <w:rPr>
                <w:sz w:val="24"/>
              </w:rPr>
            </w:pPr>
          </w:p>
          <w:p>
            <w:pPr>
              <w:pStyle w:val="10"/>
              <w:jc w:val="left"/>
              <w:rPr>
                <w:sz w:val="24"/>
              </w:rPr>
            </w:pPr>
          </w:p>
          <w:p>
            <w:pPr>
              <w:pStyle w:val="10"/>
              <w:jc w:val="left"/>
              <w:rPr>
                <w:sz w:val="24"/>
              </w:rPr>
            </w:pPr>
          </w:p>
          <w:p>
            <w:pPr>
              <w:pStyle w:val="10"/>
              <w:jc w:val="left"/>
              <w:rPr>
                <w:sz w:val="23"/>
              </w:rPr>
            </w:pPr>
          </w:p>
          <w:p>
            <w:pPr>
              <w:pStyle w:val="10"/>
              <w:ind w:left="106"/>
              <w:jc w:val="left"/>
              <w:rPr>
                <w:sz w:val="24"/>
              </w:rPr>
            </w:pPr>
            <w:r>
              <w:rPr>
                <w:sz w:val="24"/>
              </w:rPr>
              <w:t>案例分析</w:t>
            </w:r>
          </w:p>
        </w:tc>
        <w:tc>
          <w:tcPr>
            <w:tcW w:w="638" w:type="dxa"/>
            <w:vMerge w:val="restart"/>
            <w:vAlign w:val="center"/>
          </w:tcPr>
          <w:p>
            <w:pPr>
              <w:pStyle w:val="10"/>
              <w:jc w:val="left"/>
              <w:rPr>
                <w:sz w:val="24"/>
              </w:rPr>
            </w:pPr>
          </w:p>
          <w:p>
            <w:pPr>
              <w:pStyle w:val="10"/>
              <w:jc w:val="left"/>
              <w:rPr>
                <w:sz w:val="24"/>
              </w:rPr>
            </w:pPr>
          </w:p>
          <w:p>
            <w:pPr>
              <w:pStyle w:val="10"/>
              <w:jc w:val="left"/>
              <w:rPr>
                <w:sz w:val="24"/>
              </w:rPr>
            </w:pPr>
          </w:p>
          <w:p>
            <w:pPr>
              <w:pStyle w:val="10"/>
              <w:jc w:val="left"/>
              <w:rPr>
                <w:sz w:val="24"/>
              </w:rPr>
            </w:pPr>
          </w:p>
          <w:p>
            <w:pPr>
              <w:pStyle w:val="10"/>
              <w:jc w:val="left"/>
              <w:rPr>
                <w:sz w:val="24"/>
              </w:rPr>
            </w:pPr>
          </w:p>
          <w:p>
            <w:pPr>
              <w:pStyle w:val="10"/>
              <w:jc w:val="left"/>
              <w:rPr>
                <w:sz w:val="24"/>
              </w:rPr>
            </w:pPr>
          </w:p>
          <w:p>
            <w:pPr>
              <w:pStyle w:val="10"/>
              <w:jc w:val="left"/>
              <w:rPr>
                <w:sz w:val="24"/>
              </w:rPr>
            </w:pPr>
          </w:p>
          <w:p>
            <w:pPr>
              <w:pStyle w:val="10"/>
              <w:jc w:val="left"/>
              <w:rPr>
                <w:sz w:val="24"/>
              </w:rPr>
            </w:pPr>
          </w:p>
          <w:p>
            <w:pPr>
              <w:pStyle w:val="10"/>
              <w:jc w:val="left"/>
              <w:rPr>
                <w:sz w:val="24"/>
              </w:rPr>
            </w:pPr>
          </w:p>
          <w:p>
            <w:pPr>
              <w:pStyle w:val="10"/>
              <w:jc w:val="left"/>
              <w:rPr>
                <w:sz w:val="24"/>
              </w:rPr>
            </w:pPr>
          </w:p>
          <w:p>
            <w:pPr>
              <w:pStyle w:val="10"/>
              <w:jc w:val="left"/>
              <w:rPr>
                <w:sz w:val="24"/>
              </w:rPr>
            </w:pPr>
          </w:p>
          <w:p>
            <w:pPr>
              <w:pStyle w:val="10"/>
              <w:jc w:val="left"/>
              <w:rPr>
                <w:sz w:val="24"/>
              </w:rPr>
            </w:pPr>
          </w:p>
          <w:p>
            <w:pPr>
              <w:pStyle w:val="10"/>
              <w:jc w:val="left"/>
              <w:rPr>
                <w:sz w:val="23"/>
              </w:rPr>
            </w:pPr>
          </w:p>
          <w:p>
            <w:pPr>
              <w:pStyle w:val="10"/>
              <w:ind w:left="137"/>
              <w:jc w:val="left"/>
              <w:rPr>
                <w:sz w:val="24"/>
              </w:rPr>
            </w:pPr>
            <w:r>
              <w:rPr>
                <w:sz w:val="24"/>
              </w:rPr>
              <w:t>100</w:t>
            </w:r>
          </w:p>
        </w:tc>
        <w:tc>
          <w:tcPr>
            <w:tcW w:w="981" w:type="dxa"/>
            <w:vMerge w:val="restart"/>
            <w:vAlign w:val="center"/>
          </w:tcPr>
          <w:p>
            <w:pPr>
              <w:pStyle w:val="10"/>
              <w:spacing w:before="1" w:line="352" w:lineRule="auto"/>
              <w:ind w:right="382"/>
              <w:jc w:val="center"/>
              <w:rPr>
                <w:sz w:val="24"/>
              </w:rPr>
            </w:pPr>
            <w:r>
              <w:rPr>
                <w:sz w:val="24"/>
              </w:rPr>
              <w:t>总体要求</w:t>
            </w:r>
          </w:p>
        </w:tc>
        <w:tc>
          <w:tcPr>
            <w:tcW w:w="6094" w:type="dxa"/>
            <w:vAlign w:val="center"/>
          </w:tcPr>
          <w:p>
            <w:pPr>
              <w:pStyle w:val="10"/>
              <w:spacing w:before="18" w:line="452" w:lineRule="exact"/>
              <w:ind w:right="-29"/>
              <w:jc w:val="left"/>
              <w:rPr>
                <w:sz w:val="24"/>
              </w:rPr>
            </w:pPr>
            <w:r>
              <w:rPr>
                <w:spacing w:val="-6"/>
                <w:sz w:val="24"/>
              </w:rPr>
              <w:t>按照要求对企业案例进行合理的数据分析，并提供解决方案。</w:t>
            </w:r>
            <w:r>
              <w:rPr>
                <w:sz w:val="24"/>
              </w:rPr>
              <w:t>要求条理清晰、层次清楚、分析准确。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1385" w:type="dxa"/>
            <w:vMerge w:val="continue"/>
            <w:tcBorders>
              <w:top w:val="nil"/>
            </w:tcBorders>
            <w:vAlign w:val="center"/>
          </w:tcPr>
          <w:p>
            <w:pPr>
              <w:jc w:val="left"/>
              <w:rPr>
                <w:sz w:val="2"/>
                <w:szCs w:val="2"/>
              </w:rPr>
            </w:pPr>
          </w:p>
        </w:tc>
        <w:tc>
          <w:tcPr>
            <w:tcW w:w="638" w:type="dxa"/>
            <w:vMerge w:val="continue"/>
            <w:tcBorders>
              <w:top w:val="nil"/>
            </w:tcBorders>
            <w:vAlign w:val="center"/>
          </w:tcPr>
          <w:p>
            <w:pPr>
              <w:jc w:val="left"/>
              <w:rPr>
                <w:sz w:val="2"/>
                <w:szCs w:val="2"/>
              </w:rPr>
            </w:pPr>
          </w:p>
        </w:tc>
        <w:tc>
          <w:tcPr>
            <w:tcW w:w="981" w:type="dxa"/>
            <w:vMerge w:val="continue"/>
            <w:tcBorders>
              <w:top w:val="nil"/>
            </w:tcBorders>
            <w:vAlign w:val="center"/>
          </w:tcPr>
          <w:p>
            <w:pPr>
              <w:jc w:val="left"/>
              <w:rPr>
                <w:sz w:val="2"/>
                <w:szCs w:val="2"/>
              </w:rPr>
            </w:pPr>
          </w:p>
        </w:tc>
        <w:tc>
          <w:tcPr>
            <w:tcW w:w="6094" w:type="dxa"/>
            <w:vAlign w:val="center"/>
          </w:tcPr>
          <w:p>
            <w:pPr>
              <w:pStyle w:val="10"/>
              <w:spacing w:before="120" w:line="288" w:lineRule="exact"/>
              <w:jc w:val="left"/>
              <w:rPr>
                <w:sz w:val="24"/>
              </w:rPr>
            </w:pPr>
            <w:r>
              <w:rPr>
                <w:sz w:val="24"/>
              </w:rPr>
              <w:t>分析报告：40 分；分析报告讲解：40 分；现场答辩：20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0" w:hRule="atLeast"/>
        </w:trPr>
        <w:tc>
          <w:tcPr>
            <w:tcW w:w="1385" w:type="dxa"/>
            <w:vMerge w:val="continue"/>
            <w:tcBorders>
              <w:top w:val="nil"/>
            </w:tcBorders>
            <w:vAlign w:val="center"/>
          </w:tcPr>
          <w:p>
            <w:pPr>
              <w:jc w:val="left"/>
              <w:rPr>
                <w:sz w:val="2"/>
                <w:szCs w:val="2"/>
              </w:rPr>
            </w:pPr>
          </w:p>
        </w:tc>
        <w:tc>
          <w:tcPr>
            <w:tcW w:w="638" w:type="dxa"/>
            <w:vMerge w:val="continue"/>
            <w:tcBorders>
              <w:top w:val="nil"/>
            </w:tcBorders>
            <w:vAlign w:val="center"/>
          </w:tcPr>
          <w:p>
            <w:pPr>
              <w:jc w:val="left"/>
              <w:rPr>
                <w:sz w:val="2"/>
                <w:szCs w:val="2"/>
              </w:rPr>
            </w:pPr>
          </w:p>
        </w:tc>
        <w:tc>
          <w:tcPr>
            <w:tcW w:w="981" w:type="dxa"/>
            <w:vAlign w:val="center"/>
          </w:tcPr>
          <w:p>
            <w:pPr>
              <w:pStyle w:val="10"/>
              <w:jc w:val="left"/>
              <w:rPr>
                <w:sz w:val="24"/>
              </w:rPr>
            </w:pPr>
          </w:p>
          <w:p>
            <w:pPr>
              <w:pStyle w:val="10"/>
              <w:jc w:val="left"/>
              <w:rPr>
                <w:sz w:val="24"/>
              </w:rPr>
            </w:pPr>
          </w:p>
          <w:p>
            <w:pPr>
              <w:pStyle w:val="10"/>
              <w:jc w:val="left"/>
              <w:rPr>
                <w:sz w:val="24"/>
              </w:rPr>
            </w:pPr>
          </w:p>
          <w:p>
            <w:pPr>
              <w:pStyle w:val="10"/>
              <w:jc w:val="left"/>
              <w:rPr>
                <w:sz w:val="24"/>
              </w:rPr>
            </w:pPr>
          </w:p>
          <w:p>
            <w:pPr>
              <w:pStyle w:val="10"/>
              <w:jc w:val="left"/>
              <w:rPr>
                <w:sz w:val="24"/>
              </w:rPr>
            </w:pPr>
          </w:p>
          <w:p>
            <w:pPr>
              <w:pStyle w:val="10"/>
              <w:spacing w:before="177"/>
              <w:ind w:left="106"/>
              <w:jc w:val="center"/>
              <w:rPr>
                <w:sz w:val="24"/>
              </w:rPr>
            </w:pPr>
            <w:r>
              <w:rPr>
                <w:sz w:val="24"/>
              </w:rPr>
              <w:t>40</w:t>
            </w:r>
          </w:p>
        </w:tc>
        <w:tc>
          <w:tcPr>
            <w:tcW w:w="6094" w:type="dxa"/>
            <w:vAlign w:val="center"/>
          </w:tcPr>
          <w:p>
            <w:pPr>
              <w:pStyle w:val="10"/>
              <w:spacing w:before="140"/>
              <w:jc w:val="left"/>
              <w:rPr>
                <w:sz w:val="24"/>
              </w:rPr>
            </w:pPr>
            <w:r>
              <w:rPr>
                <w:sz w:val="24"/>
              </w:rPr>
              <w:t>分析报告</w:t>
            </w:r>
            <w:r>
              <w:rPr>
                <w:rFonts w:hint="eastAsia"/>
                <w:sz w:val="24"/>
                <w:lang w:val="en-US" w:eastAsia="zh-CN"/>
              </w:rPr>
              <w:t>质量</w:t>
            </w:r>
            <w:r>
              <w:rPr>
                <w:sz w:val="24"/>
              </w:rPr>
              <w:t>：</w:t>
            </w:r>
          </w:p>
          <w:p>
            <w:pPr>
              <w:pStyle w:val="10"/>
              <w:spacing w:before="144" w:line="350" w:lineRule="auto"/>
              <w:ind w:right="96"/>
              <w:jc w:val="left"/>
              <w:rPr>
                <w:sz w:val="24"/>
              </w:rPr>
            </w:pPr>
            <w:r>
              <w:rPr>
                <w:sz w:val="24"/>
              </w:rPr>
              <w:t>1</w:t>
            </w:r>
            <w:r>
              <w:rPr>
                <w:spacing w:val="-10"/>
                <w:sz w:val="24"/>
              </w:rPr>
              <w:t>、分析报告内容必须包括业务需求分析、数据处理、分析与</w:t>
            </w:r>
            <w:r>
              <w:rPr>
                <w:spacing w:val="-1"/>
                <w:sz w:val="24"/>
              </w:rPr>
              <w:t>挖掘及建议方案四项内容，其他内容可自行发挥，若使用数据挖</w:t>
            </w:r>
            <w:r>
              <w:rPr>
                <w:sz w:val="24"/>
              </w:rPr>
              <w:t>掘则为加分项；</w:t>
            </w:r>
          </w:p>
          <w:p>
            <w:pPr>
              <w:pStyle w:val="10"/>
              <w:spacing w:before="2" w:line="352" w:lineRule="auto"/>
              <w:ind w:right="96"/>
              <w:jc w:val="left"/>
              <w:rPr>
                <w:sz w:val="24"/>
              </w:rPr>
            </w:pPr>
            <w:r>
              <w:rPr>
                <w:sz w:val="24"/>
              </w:rPr>
              <w:t>2</w:t>
            </w:r>
            <w:r>
              <w:rPr>
                <w:spacing w:val="-11"/>
                <w:sz w:val="24"/>
              </w:rPr>
              <w:t>、报表数据分析的可视化图表必须用系统内置的分析工具制</w:t>
            </w:r>
            <w:r>
              <w:rPr>
                <w:sz w:val="24"/>
              </w:rPr>
              <w:t>作，要求图表直观，公式计算准确；</w:t>
            </w:r>
          </w:p>
          <w:p>
            <w:pPr>
              <w:pStyle w:val="10"/>
              <w:spacing w:line="303" w:lineRule="exact"/>
              <w:jc w:val="left"/>
              <w:rPr>
                <w:sz w:val="24"/>
              </w:rPr>
            </w:pPr>
            <w:r>
              <w:rPr>
                <w:sz w:val="24"/>
              </w:rPr>
              <w:t>3、整个分析报告内容完整、结构严谨、文字流畅；</w:t>
            </w:r>
          </w:p>
          <w:p>
            <w:pPr>
              <w:pStyle w:val="10"/>
              <w:spacing w:before="144" w:line="288" w:lineRule="exact"/>
              <w:jc w:val="left"/>
              <w:rPr>
                <w:sz w:val="24"/>
              </w:rPr>
            </w:pPr>
            <w:r>
              <w:rPr>
                <w:sz w:val="24"/>
              </w:rPr>
              <w:t>4、案例结论建议合理，见解独到。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0" w:hRule="atLeast"/>
        </w:trPr>
        <w:tc>
          <w:tcPr>
            <w:tcW w:w="1385" w:type="dxa"/>
            <w:vMerge w:val="continue"/>
            <w:tcBorders>
              <w:top w:val="nil"/>
            </w:tcBorders>
            <w:vAlign w:val="center"/>
          </w:tcPr>
          <w:p>
            <w:pPr>
              <w:jc w:val="left"/>
              <w:rPr>
                <w:sz w:val="2"/>
                <w:szCs w:val="2"/>
              </w:rPr>
            </w:pPr>
          </w:p>
        </w:tc>
        <w:tc>
          <w:tcPr>
            <w:tcW w:w="638" w:type="dxa"/>
            <w:vMerge w:val="continue"/>
            <w:tcBorders>
              <w:top w:val="nil"/>
            </w:tcBorders>
            <w:vAlign w:val="center"/>
          </w:tcPr>
          <w:p>
            <w:pPr>
              <w:jc w:val="left"/>
              <w:rPr>
                <w:sz w:val="2"/>
                <w:szCs w:val="2"/>
              </w:rPr>
            </w:pPr>
          </w:p>
        </w:tc>
        <w:tc>
          <w:tcPr>
            <w:tcW w:w="981" w:type="dxa"/>
            <w:vAlign w:val="center"/>
          </w:tcPr>
          <w:p>
            <w:pPr>
              <w:pStyle w:val="10"/>
              <w:jc w:val="center"/>
              <w:rPr>
                <w:sz w:val="24"/>
              </w:rPr>
            </w:pPr>
            <w:r>
              <w:rPr>
                <w:sz w:val="24"/>
              </w:rPr>
              <w:t>40</w:t>
            </w:r>
          </w:p>
        </w:tc>
        <w:tc>
          <w:tcPr>
            <w:tcW w:w="6094" w:type="dxa"/>
            <w:vAlign w:val="center"/>
          </w:tcPr>
          <w:p>
            <w:pPr>
              <w:pStyle w:val="10"/>
              <w:spacing w:before="140"/>
              <w:jc w:val="left"/>
              <w:rPr>
                <w:sz w:val="24"/>
              </w:rPr>
            </w:pPr>
            <w:r>
              <w:rPr>
                <w:sz w:val="24"/>
              </w:rPr>
              <w:t>分析报告讲解：</w:t>
            </w:r>
          </w:p>
          <w:p>
            <w:pPr>
              <w:pStyle w:val="10"/>
              <w:spacing w:before="144"/>
              <w:jc w:val="left"/>
              <w:rPr>
                <w:sz w:val="24"/>
              </w:rPr>
            </w:pPr>
            <w:r>
              <w:rPr>
                <w:sz w:val="24"/>
              </w:rPr>
              <w:t>1、熟悉报告内容，语言简练，口齿清晰，表达准确；</w:t>
            </w:r>
          </w:p>
          <w:p>
            <w:pPr>
              <w:pStyle w:val="10"/>
              <w:spacing w:before="141" w:line="290" w:lineRule="exact"/>
              <w:jc w:val="left"/>
              <w:rPr>
                <w:sz w:val="24"/>
              </w:rPr>
            </w:pPr>
            <w:r>
              <w:rPr>
                <w:sz w:val="24"/>
              </w:rPr>
              <w:t>2、分析问题条理分明，主次得当，结构完整。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1385" w:type="dxa"/>
            <w:vMerge w:val="continue"/>
            <w:tcBorders>
              <w:top w:val="nil"/>
            </w:tcBorders>
            <w:vAlign w:val="center"/>
          </w:tcPr>
          <w:p>
            <w:pPr>
              <w:jc w:val="left"/>
              <w:rPr>
                <w:sz w:val="2"/>
                <w:szCs w:val="2"/>
              </w:rPr>
            </w:pPr>
          </w:p>
        </w:tc>
        <w:tc>
          <w:tcPr>
            <w:tcW w:w="638" w:type="dxa"/>
            <w:vMerge w:val="continue"/>
            <w:tcBorders>
              <w:top w:val="nil"/>
            </w:tcBorders>
            <w:vAlign w:val="center"/>
          </w:tcPr>
          <w:p>
            <w:pPr>
              <w:jc w:val="left"/>
              <w:rPr>
                <w:sz w:val="2"/>
                <w:szCs w:val="2"/>
              </w:rPr>
            </w:pPr>
          </w:p>
        </w:tc>
        <w:tc>
          <w:tcPr>
            <w:tcW w:w="981" w:type="dxa"/>
            <w:vAlign w:val="center"/>
          </w:tcPr>
          <w:p>
            <w:pPr>
              <w:pStyle w:val="10"/>
              <w:spacing w:before="200"/>
              <w:jc w:val="center"/>
              <w:rPr>
                <w:sz w:val="24"/>
              </w:rPr>
            </w:pPr>
            <w:r>
              <w:rPr>
                <w:sz w:val="24"/>
              </w:rPr>
              <w:t>20</w:t>
            </w:r>
          </w:p>
        </w:tc>
        <w:tc>
          <w:tcPr>
            <w:tcW w:w="6094" w:type="dxa"/>
            <w:vAlign w:val="center"/>
          </w:tcPr>
          <w:p>
            <w:pPr>
              <w:pStyle w:val="10"/>
              <w:spacing w:before="141"/>
              <w:jc w:val="left"/>
              <w:rPr>
                <w:sz w:val="24"/>
              </w:rPr>
            </w:pPr>
            <w:r>
              <w:rPr>
                <w:sz w:val="24"/>
              </w:rPr>
              <w:t>现场答辩：</w:t>
            </w:r>
          </w:p>
          <w:p>
            <w:pPr>
              <w:pStyle w:val="10"/>
              <w:spacing w:before="143"/>
              <w:jc w:val="left"/>
              <w:rPr>
                <w:sz w:val="24"/>
              </w:rPr>
            </w:pPr>
            <w:r>
              <w:rPr>
                <w:sz w:val="24"/>
              </w:rPr>
              <w:t>1、能够准确完整、及时流畅回答评委所提问题；</w:t>
            </w:r>
          </w:p>
          <w:p>
            <w:pPr>
              <w:pStyle w:val="10"/>
              <w:spacing w:before="20" w:line="452" w:lineRule="exact"/>
              <w:ind w:right="96"/>
              <w:jc w:val="left"/>
              <w:rPr>
                <w:sz w:val="24"/>
              </w:rPr>
            </w:pPr>
            <w:r>
              <w:rPr>
                <w:sz w:val="24"/>
              </w:rPr>
              <w:t>2</w:t>
            </w:r>
            <w:r>
              <w:rPr>
                <w:spacing w:val="-10"/>
                <w:sz w:val="24"/>
              </w:rPr>
              <w:t>、回答问题有针对性、简要概述、内容连贯，有较强的分析</w:t>
            </w:r>
            <w:r>
              <w:rPr>
                <w:sz w:val="24"/>
              </w:rPr>
              <w:t>应变能力。</w:t>
            </w:r>
          </w:p>
        </w:tc>
      </w:tr>
    </w:tbl>
    <w:p>
      <w:pPr>
        <w:pStyle w:val="4"/>
        <w:spacing w:before="6"/>
        <w:jc w:val="left"/>
        <w:rPr>
          <w:sz w:val="20"/>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left="0" w:leftChars="0" w:right="-54" w:rightChars="0" w:firstLine="602" w:firstLineChars="200"/>
        <w:jc w:val="both"/>
        <w:rPr>
          <w:rFonts w:ascii="仿宋" w:hAnsi="仿宋" w:eastAsia="仿宋" w:cs="仿宋"/>
          <w:b w:val="0"/>
          <w:bCs w:val="0"/>
          <w:sz w:val="28"/>
          <w:szCs w:val="28"/>
          <w:lang w:val="zh-CN" w:eastAsia="zh-CN" w:bidi="zh-CN"/>
        </w:rPr>
      </w:pPr>
      <w:bookmarkStart w:id="1" w:name="（一）竞赛平台："/>
      <w:bookmarkEnd w:id="1"/>
      <w:r>
        <w:rPr>
          <w:rFonts w:hint="eastAsia"/>
          <w:lang w:val="en-US" w:eastAsia="zh-CN"/>
        </w:rPr>
        <w:t>五、</w:t>
      </w:r>
      <w:r>
        <w:t>竞赛平台</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right="-54" w:rightChars="0" w:firstLine="560" w:firstLineChars="200"/>
        <w:jc w:val="both"/>
        <w:rPr>
          <w:rFonts w:hint="eastAsia" w:ascii="仿宋" w:hAnsi="仿宋" w:eastAsia="仿宋" w:cs="仿宋"/>
          <w:b/>
          <w:bCs/>
          <w:sz w:val="30"/>
          <w:szCs w:val="30"/>
          <w:lang w:val="en-US" w:eastAsia="zh-CN" w:bidi="zh-CN"/>
        </w:rPr>
      </w:pPr>
      <w:r>
        <w:rPr>
          <w:rFonts w:ascii="仿宋" w:hAnsi="仿宋" w:eastAsia="仿宋" w:cs="仿宋"/>
          <w:b w:val="0"/>
          <w:bCs w:val="0"/>
          <w:sz w:val="28"/>
          <w:szCs w:val="28"/>
          <w:lang w:val="zh-CN" w:eastAsia="zh-CN" w:bidi="zh-CN"/>
        </w:rPr>
        <w:t>人力大数据赛道、营销大数据赛道赛道竞赛平台：DBE Cloud 实验实训平台。平台地址及开通时间另行通知</w:t>
      </w:r>
      <w:r>
        <w:rPr>
          <w:rFonts w:hint="eastAsia" w:ascii="仿宋" w:hAnsi="仿宋" w:eastAsia="仿宋" w:cs="仿宋"/>
          <w:b w:val="0"/>
          <w:bCs w:val="0"/>
          <w:sz w:val="28"/>
          <w:szCs w:val="28"/>
          <w:lang w:val="zh-CN" w:eastAsia="zh-CN" w:bidi="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87672"/>
    <w:rsid w:val="12A80A7A"/>
    <w:rsid w:val="230C434D"/>
    <w:rsid w:val="41BA482A"/>
    <w:rsid w:val="421A01B5"/>
    <w:rsid w:val="57D87672"/>
    <w:rsid w:val="5FD02951"/>
    <w:rsid w:val="637718DB"/>
    <w:rsid w:val="6A067A58"/>
    <w:rsid w:val="793C2A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uiPriority="99" w:name="heading 2"/>
    <w:lsdException w:qFormat="1" w:unhideWhenUsed="0" w:uiPriority="1" w:semiHidden="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0" w:semiHidden="0" w:name="header"/>
    <w:lsdException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unhideWhenUsed="0" w:uiPriority="0" w:name="Default Paragraph Font"/>
    <w:lsdException w:qFormat="1" w:unhideWhenUsed="0" w:uiPriority="1"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ind w:left="515"/>
      <w:outlineLvl w:val="1"/>
    </w:pPr>
    <w:rPr>
      <w:rFonts w:ascii="黑体" w:hAnsi="黑体" w:eastAsia="黑体" w:cs="黑体"/>
      <w:b/>
      <w:bCs/>
      <w:sz w:val="30"/>
      <w:szCs w:val="30"/>
      <w:lang w:val="zh-CN" w:eastAsia="zh-CN" w:bidi="zh-CN"/>
    </w:rPr>
  </w:style>
  <w:style w:type="paragraph" w:styleId="3">
    <w:name w:val="heading 3"/>
    <w:basedOn w:val="1"/>
    <w:next w:val="1"/>
    <w:qFormat/>
    <w:uiPriority w:val="1"/>
    <w:pPr>
      <w:ind w:left="936"/>
      <w:outlineLvl w:val="3"/>
    </w:pPr>
    <w:rPr>
      <w:rFonts w:ascii="仿宋" w:hAnsi="仿宋" w:eastAsia="仿宋" w:cs="仿宋"/>
      <w:b/>
      <w:bCs/>
      <w:sz w:val="28"/>
      <w:szCs w:val="28"/>
      <w:lang w:val="zh-CN" w:eastAsia="zh-CN" w:bidi="zh-CN"/>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8"/>
      <w:szCs w:val="28"/>
      <w:lang w:val="zh-CN" w:eastAsia="zh-CN" w:bidi="zh-C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List Paragraph"/>
    <w:basedOn w:val="1"/>
    <w:qFormat/>
    <w:uiPriority w:val="1"/>
    <w:pPr>
      <w:ind w:left="1360" w:hanging="284"/>
    </w:pPr>
    <w:rPr>
      <w:rFonts w:ascii="仿宋" w:hAnsi="仿宋" w:eastAsia="仿宋" w:cs="仿宋"/>
      <w:lang w:val="zh-CN" w:eastAsia="zh-CN" w:bidi="zh-CN"/>
    </w:rPr>
  </w:style>
  <w:style w:type="paragraph" w:customStyle="1" w:styleId="10">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2024-05-14T17:13:00Z</dcterms:created>
  <dc:creator>魏巍</dc:creator>
  <cp:lastModifiedBy>魏巍</cp:lastModifiedBy>
  <dcterms:modified xsi:type="dcterms:W3CDTF">2024-05-16T02:08:44Z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