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3F" w:rsidRPr="00D1595B" w:rsidRDefault="00E6643F">
      <w:pPr>
        <w:widowControl/>
        <w:shd w:val="clear" w:color="auto" w:fill="FFFFFF"/>
        <w:spacing w:line="540" w:lineRule="exact"/>
        <w:rPr>
          <w:rFonts w:ascii="方正黑体_GBK" w:eastAsia="方正黑体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 w:rsidRPr="00D1595B">
        <w:rPr>
          <w:rFonts w:ascii="方正黑体_GBK" w:eastAsia="方正黑体_GBK" w:hAnsi="方正仿宋_GBK" w:cs="方正黑体_GBK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E6643F" w:rsidRDefault="00E6643F">
      <w:pPr>
        <w:widowControl/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方正小标宋简体" w:hint="eastAsia"/>
          <w:color w:val="000000"/>
          <w:kern w:val="0"/>
          <w:sz w:val="36"/>
          <w:szCs w:val="36"/>
        </w:rPr>
        <w:t>安徽省大学生学科和技能竞赛项目</w:t>
      </w:r>
    </w:p>
    <w:p w:rsidR="00E6643F" w:rsidRDefault="00E6643F">
      <w:pPr>
        <w:widowControl/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36"/>
          <w:szCs w:val="36"/>
        </w:rPr>
        <w:t>工作总结报告内容提纲</w:t>
      </w:r>
    </w:p>
    <w:bookmarkEnd w:id="0"/>
    <w:p w:rsidR="00E6643F" w:rsidRDefault="00E6643F" w:rsidP="00D1595B">
      <w:pPr>
        <w:widowControl/>
        <w:shd w:val="clear" w:color="auto" w:fill="FFFFFF"/>
        <w:spacing w:line="500" w:lineRule="exact"/>
        <w:rPr>
          <w:rFonts w:ascii="方正仿宋_GBK" w:eastAsia="方正仿宋_GBK" w:hAnsi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:rsidR="00E6643F" w:rsidRDefault="00E6643F" w:rsidP="00D1595B">
      <w:pPr>
        <w:widowControl/>
        <w:shd w:val="clear" w:color="auto" w:fill="FFFFFF"/>
        <w:spacing w:line="500" w:lineRule="exact"/>
        <w:rPr>
          <w:rFonts w:ascii="方正仿宋_GBK" w:eastAsia="方正仿宋_GBK" w:hAnsi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一、竞赛基本情况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、竞赛规模及参与情况（参与高校数、学生数、团队数、指导教师数、专业覆盖情况等）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、竞赛获奖情况（与往年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届竞赛的纵向比较情况等）</w:t>
      </w:r>
    </w:p>
    <w:p w:rsidR="00E6643F" w:rsidRDefault="00E6643F" w:rsidP="00D1595B">
      <w:pPr>
        <w:widowControl/>
        <w:shd w:val="clear" w:color="auto" w:fill="FFFFFF"/>
        <w:spacing w:line="500" w:lineRule="exact"/>
        <w:ind w:firstLineChars="200" w:firstLine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、其他</w:t>
      </w:r>
    </w:p>
    <w:p w:rsidR="00E6643F" w:rsidRDefault="00E6643F" w:rsidP="00D1595B">
      <w:pPr>
        <w:widowControl/>
        <w:shd w:val="clear" w:color="auto" w:fill="FFFFFF"/>
        <w:spacing w:line="500" w:lineRule="exact"/>
        <w:rPr>
          <w:rFonts w:ascii="方正仿宋_GBK" w:eastAsia="方正仿宋_GBK" w:hAnsi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二、竞赛组织实施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、竞赛组织安排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、评审专家安排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、比赛秩序、竞赛纪律与公平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、竞赛宣传推广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、其他（包括财经纪律情况）</w:t>
      </w:r>
    </w:p>
    <w:p w:rsidR="00E6643F" w:rsidRDefault="00E6643F" w:rsidP="00D1595B">
      <w:pPr>
        <w:widowControl/>
        <w:shd w:val="clear" w:color="auto" w:fill="FFFFFF"/>
        <w:spacing w:line="500" w:lineRule="exact"/>
        <w:rPr>
          <w:rFonts w:ascii="方正仿宋_GBK" w:eastAsia="方正仿宋_GBK" w:hAnsi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三、成果及特色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、安徽省参加国赛的参与情况及获奖情况（与其他省份的横向比较、与往年竞赛的纵向变化情况）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、在创新创业教育方面的成效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、对以赛促教、以赛促学、以赛促改及以赛促建的意义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、竞赛优秀典型案例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、竞赛特色总结</w:t>
      </w:r>
    </w:p>
    <w:p w:rsidR="00E6643F" w:rsidRDefault="00E6643F" w:rsidP="00D1595B">
      <w:pPr>
        <w:widowControl/>
        <w:shd w:val="clear" w:color="auto" w:fill="FFFFFF"/>
        <w:spacing w:line="500" w:lineRule="exact"/>
        <w:ind w:leftChars="304" w:left="3168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、其他</w:t>
      </w:r>
    </w:p>
    <w:p w:rsidR="00E6643F" w:rsidRDefault="00E6643F" w:rsidP="00D1595B">
      <w:pPr>
        <w:widowControl/>
        <w:shd w:val="clear" w:color="auto" w:fill="FFFFFF"/>
        <w:spacing w:line="500" w:lineRule="exact"/>
        <w:rPr>
          <w:rFonts w:ascii="方正仿宋_GBK" w:eastAsia="方正仿宋_GBK" w:hAnsi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四、存在问题</w:t>
      </w:r>
    </w:p>
    <w:p w:rsidR="00E6643F" w:rsidRDefault="00E6643F" w:rsidP="00D1595B">
      <w:pPr>
        <w:widowControl/>
        <w:shd w:val="clear" w:color="auto" w:fill="FFFFFF"/>
        <w:spacing w:line="500" w:lineRule="exact"/>
        <w:rPr>
          <w:rFonts w:cs="Times New Roman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五、改进措施及未来工作计划</w:t>
      </w:r>
    </w:p>
    <w:sectPr w:rsidR="00E6643F" w:rsidSect="00D1595B"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3024A9"/>
    <w:rsid w:val="002A33B9"/>
    <w:rsid w:val="007715C5"/>
    <w:rsid w:val="00D1595B"/>
    <w:rsid w:val="00DA26D6"/>
    <w:rsid w:val="00E6643F"/>
    <w:rsid w:val="068862BB"/>
    <w:rsid w:val="1ACE57E5"/>
    <w:rsid w:val="263024A9"/>
    <w:rsid w:val="2E536F51"/>
    <w:rsid w:val="368B3E09"/>
    <w:rsid w:val="38C16668"/>
    <w:rsid w:val="6D535020"/>
    <w:rsid w:val="72274A62"/>
    <w:rsid w:val="7FB2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C5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5C5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15C5"/>
    <w:rPr>
      <w:rFonts w:ascii="Arial" w:eastAsia="黑体" w:hAnsi="Arial" w:cs="Arial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7715C5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胡慧慧大人</dc:creator>
  <cp:keywords/>
  <dc:description/>
  <cp:lastModifiedBy>JYT</cp:lastModifiedBy>
  <cp:revision>2</cp:revision>
  <dcterms:created xsi:type="dcterms:W3CDTF">2018-12-05T01:19:00Z</dcterms:created>
  <dcterms:modified xsi:type="dcterms:W3CDTF">2018-12-11T07:17:00Z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