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E4E" w:rsidRDefault="00A60B3F">
      <w:pPr>
        <w:widowControl/>
        <w:shd w:val="clear" w:color="auto" w:fill="FFFFFF"/>
        <w:spacing w:beforeLines="100" w:before="312" w:afterLines="100" w:after="312" w:line="360" w:lineRule="auto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6"/>
        </w:rPr>
        <w:t>2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6"/>
        </w:rPr>
        <w:t>02</w:t>
      </w:r>
      <w:r w:rsidR="007B0E4E">
        <w:rPr>
          <w:rFonts w:ascii="宋体" w:eastAsia="宋体" w:hAnsi="宋体" w:cs="宋体"/>
          <w:b/>
          <w:bCs/>
          <w:color w:val="333333"/>
          <w:kern w:val="0"/>
          <w:sz w:val="32"/>
          <w:szCs w:val="36"/>
        </w:rPr>
        <w:t>5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6"/>
        </w:rPr>
        <w:t>年第</w:t>
      </w:r>
      <w:r w:rsidR="007B0E4E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6"/>
        </w:rPr>
        <w:t>八</w:t>
      </w:r>
      <w:r>
        <w:rPr>
          <w:rFonts w:ascii="宋体" w:eastAsia="宋体" w:hAnsi="宋体" w:cs="宋体"/>
          <w:b/>
          <w:bCs/>
          <w:color w:val="333333"/>
          <w:kern w:val="0"/>
          <w:sz w:val="32"/>
          <w:szCs w:val="36"/>
        </w:rPr>
        <w:t>届全国高校经济决策虚仿实验大赛校园赛</w:t>
      </w:r>
    </w:p>
    <w:p w:rsidR="00B04249" w:rsidRDefault="00A60B3F">
      <w:pPr>
        <w:widowControl/>
        <w:shd w:val="clear" w:color="auto" w:fill="FFFFFF"/>
        <w:spacing w:beforeLines="100" w:before="312" w:afterLines="100" w:after="312" w:line="360" w:lineRule="auto"/>
        <w:jc w:val="center"/>
        <w:rPr>
          <w:rFonts w:ascii="宋体" w:eastAsia="宋体" w:hAnsi="宋体" w:cs="Helvetica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bCs/>
          <w:color w:val="333333"/>
          <w:kern w:val="0"/>
          <w:sz w:val="32"/>
          <w:szCs w:val="24"/>
        </w:rPr>
        <w:t>赛事细则</w:t>
      </w:r>
    </w:p>
    <w:p w:rsidR="00B04249" w:rsidRDefault="00A60B3F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一、竞赛内容与规则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竞赛使用成都杰科力科技有限公司的《经济学综合仿真实训平台》进行，由微观和宏观两部分竞赛内容组成，参赛团队通过网络实验平台，在虚拟国家背景下，模拟企业、政府等角色进行经济决策：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微观经济理性决策。竞赛使用《经济学综合仿真实训平台》软件中厂商竞赛模块。业务操作包括现金管理模块、原料与要素供给、市场需求竞标、生产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/交付/技改、政府监管等决策，采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取分组单机方式竞赛，通过比较各组最终权益高低由软件自动评分。</w:t>
      </w:r>
    </w:p>
    <w:p w:rsidR="00B04249" w:rsidRDefault="00A60B3F">
      <w:pPr>
        <w:tabs>
          <w:tab w:val="left" w:pos="840"/>
        </w:tabs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（1）供给需求理论、要素理论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536"/>
        <w:gridCol w:w="1779"/>
      </w:tblGrid>
      <w:tr w:rsidR="00B04249">
        <w:trPr>
          <w:trHeight w:val="523"/>
          <w:tblHeader/>
          <w:jc w:val="center"/>
        </w:trPr>
        <w:tc>
          <w:tcPr>
            <w:tcW w:w="1275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竞赛模块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竞赛环节</w:t>
            </w:r>
          </w:p>
        </w:tc>
        <w:tc>
          <w:tcPr>
            <w:tcW w:w="1779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涉及知识点</w:t>
            </w:r>
          </w:p>
        </w:tc>
      </w:tr>
      <w:tr w:rsidR="00B04249">
        <w:trPr>
          <w:trHeight w:val="148"/>
          <w:jc w:val="center"/>
        </w:trPr>
        <w:tc>
          <w:tcPr>
            <w:tcW w:w="1275" w:type="dxa"/>
            <w:vMerge w:val="restart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竞赛准备</w:t>
            </w: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熟悉要素市场的价格决定理论</w:t>
            </w:r>
          </w:p>
        </w:tc>
        <w:tc>
          <w:tcPr>
            <w:tcW w:w="1779" w:type="dxa"/>
            <w:vMerge w:val="restart"/>
            <w:vAlign w:val="center"/>
          </w:tcPr>
          <w:p w:rsidR="00B04249" w:rsidRDefault="00A60B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供给、需求与均衡价格</w:t>
            </w:r>
          </w:p>
          <w:p w:rsidR="00B04249" w:rsidRDefault="00A60B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弹性及其应用</w:t>
            </w:r>
          </w:p>
          <w:p w:rsidR="00B04249" w:rsidRDefault="00A60B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供求关系的静态和动态应用</w:t>
            </w:r>
          </w:p>
        </w:tc>
      </w:tr>
      <w:tr w:rsidR="00B04249">
        <w:trPr>
          <w:trHeight w:val="148"/>
          <w:jc w:val="center"/>
        </w:trPr>
        <w:tc>
          <w:tcPr>
            <w:tcW w:w="1275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熟悉产品市场的定价理论</w:t>
            </w:r>
          </w:p>
        </w:tc>
        <w:tc>
          <w:tcPr>
            <w:tcW w:w="1779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8"/>
          <w:jc w:val="center"/>
        </w:trPr>
        <w:tc>
          <w:tcPr>
            <w:tcW w:w="1275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熟悉供给需求基本规律与弹性理论</w:t>
            </w:r>
          </w:p>
        </w:tc>
        <w:tc>
          <w:tcPr>
            <w:tcW w:w="1779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8"/>
          <w:jc w:val="center"/>
        </w:trPr>
        <w:tc>
          <w:tcPr>
            <w:tcW w:w="1275" w:type="dxa"/>
            <w:vMerge w:val="restart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比赛流程</w:t>
            </w: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汽车公司进行土地与生产线投资</w:t>
            </w:r>
          </w:p>
        </w:tc>
        <w:tc>
          <w:tcPr>
            <w:tcW w:w="1779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8"/>
          <w:jc w:val="center"/>
        </w:trPr>
        <w:tc>
          <w:tcPr>
            <w:tcW w:w="1275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家电公司进行订单竞标</w:t>
            </w:r>
          </w:p>
        </w:tc>
        <w:tc>
          <w:tcPr>
            <w:tcW w:w="1779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8"/>
          <w:jc w:val="center"/>
        </w:trPr>
        <w:tc>
          <w:tcPr>
            <w:tcW w:w="1275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汽车公司和家电公司与钢铁公司开展业务</w:t>
            </w:r>
          </w:p>
        </w:tc>
        <w:tc>
          <w:tcPr>
            <w:tcW w:w="1779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8"/>
          <w:jc w:val="center"/>
        </w:trPr>
        <w:tc>
          <w:tcPr>
            <w:tcW w:w="1275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汽车和家电公司开始生产经营活动</w:t>
            </w:r>
          </w:p>
        </w:tc>
        <w:tc>
          <w:tcPr>
            <w:tcW w:w="1779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4249" w:rsidRDefault="00A60B3F">
      <w:pPr>
        <w:tabs>
          <w:tab w:val="left" w:pos="840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（2）市场结构与厂商理论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4536"/>
        <w:gridCol w:w="1810"/>
      </w:tblGrid>
      <w:tr w:rsidR="00B04249">
        <w:trPr>
          <w:trHeight w:val="515"/>
          <w:tblHeader/>
          <w:jc w:val="center"/>
        </w:trPr>
        <w:tc>
          <w:tcPr>
            <w:tcW w:w="1177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竞赛模块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竞赛环节</w:t>
            </w:r>
          </w:p>
        </w:tc>
        <w:tc>
          <w:tcPr>
            <w:tcW w:w="1810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涉及知识点</w:t>
            </w:r>
          </w:p>
        </w:tc>
      </w:tr>
      <w:tr w:rsidR="00B04249">
        <w:trPr>
          <w:trHeight w:val="144"/>
          <w:jc w:val="center"/>
        </w:trPr>
        <w:tc>
          <w:tcPr>
            <w:tcW w:w="1177" w:type="dxa"/>
            <w:vMerge w:val="restart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竞赛准备</w:t>
            </w: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制定产品市场交易和竞标规则</w:t>
            </w:r>
          </w:p>
        </w:tc>
        <w:tc>
          <w:tcPr>
            <w:tcW w:w="1810" w:type="dxa"/>
            <w:vMerge w:val="restart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生产理论</w:t>
            </w:r>
          </w:p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成本理论</w:t>
            </w:r>
          </w:p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市场结构理论</w:t>
            </w:r>
          </w:p>
        </w:tc>
      </w:tr>
      <w:tr w:rsidR="00B04249">
        <w:trPr>
          <w:trHeight w:val="144"/>
          <w:jc w:val="center"/>
        </w:trPr>
        <w:tc>
          <w:tcPr>
            <w:tcW w:w="1177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熟悉四种市场结构的典型特征</w:t>
            </w:r>
          </w:p>
        </w:tc>
        <w:tc>
          <w:tcPr>
            <w:tcW w:w="1810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4"/>
          <w:jc w:val="center"/>
        </w:trPr>
        <w:tc>
          <w:tcPr>
            <w:tcW w:w="1177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熟悉生产函数与不同的成本曲线</w:t>
            </w:r>
          </w:p>
        </w:tc>
        <w:tc>
          <w:tcPr>
            <w:tcW w:w="1810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256"/>
          <w:jc w:val="center"/>
        </w:trPr>
        <w:tc>
          <w:tcPr>
            <w:tcW w:w="1177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熟悉不同市场结构下的均衡</w:t>
            </w:r>
          </w:p>
        </w:tc>
        <w:tc>
          <w:tcPr>
            <w:tcW w:w="1810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254"/>
          <w:jc w:val="center"/>
        </w:trPr>
        <w:tc>
          <w:tcPr>
            <w:tcW w:w="1177" w:type="dxa"/>
            <w:vMerge w:val="restart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比赛流程</w:t>
            </w:r>
          </w:p>
        </w:tc>
        <w:tc>
          <w:tcPr>
            <w:tcW w:w="4536" w:type="dxa"/>
          </w:tcPr>
          <w:p w:rsidR="00B04249" w:rsidRDefault="00A60B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对汽车、家电、钢铁市场竞争结构进行分析</w:t>
            </w:r>
          </w:p>
        </w:tc>
        <w:tc>
          <w:tcPr>
            <w:tcW w:w="1810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4"/>
          <w:jc w:val="center"/>
        </w:trPr>
        <w:tc>
          <w:tcPr>
            <w:tcW w:w="1177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4249" w:rsidRDefault="00A60B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汽车和家电公司在不同竞争市场下投标经营</w:t>
            </w:r>
          </w:p>
        </w:tc>
        <w:tc>
          <w:tcPr>
            <w:tcW w:w="1810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4"/>
          <w:jc w:val="center"/>
        </w:trPr>
        <w:tc>
          <w:tcPr>
            <w:tcW w:w="1177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</w:tcPr>
          <w:p w:rsidR="00B04249" w:rsidRDefault="00A60B3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汽车和家电公司根据宏观经济趋势判断风险</w:t>
            </w:r>
          </w:p>
        </w:tc>
        <w:tc>
          <w:tcPr>
            <w:tcW w:w="1810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4"/>
          <w:jc w:val="center"/>
        </w:trPr>
        <w:tc>
          <w:tcPr>
            <w:tcW w:w="1177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各类厂商生产函数与最优生产决策分析</w:t>
            </w:r>
          </w:p>
        </w:tc>
        <w:tc>
          <w:tcPr>
            <w:tcW w:w="1810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4"/>
          <w:jc w:val="center"/>
        </w:trPr>
        <w:tc>
          <w:tcPr>
            <w:tcW w:w="1177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模拟游戏中的竞争均衡分析</w:t>
            </w:r>
          </w:p>
        </w:tc>
        <w:tc>
          <w:tcPr>
            <w:tcW w:w="1810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4249" w:rsidRDefault="00A60B3F">
      <w:pPr>
        <w:tabs>
          <w:tab w:val="left" w:pos="840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lastRenderedPageBreak/>
        <w:t>（3）市场失灵与福利经济学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4536"/>
        <w:gridCol w:w="1847"/>
      </w:tblGrid>
      <w:tr w:rsidR="00B04249">
        <w:trPr>
          <w:trHeight w:val="515"/>
          <w:tblHeader/>
          <w:jc w:val="center"/>
        </w:trPr>
        <w:tc>
          <w:tcPr>
            <w:tcW w:w="1214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竞赛模块</w:t>
            </w:r>
          </w:p>
        </w:tc>
        <w:tc>
          <w:tcPr>
            <w:tcW w:w="4536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竞赛环节</w:t>
            </w:r>
          </w:p>
        </w:tc>
        <w:tc>
          <w:tcPr>
            <w:tcW w:w="1847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涉及知识点</w:t>
            </w:r>
          </w:p>
        </w:tc>
      </w:tr>
      <w:tr w:rsidR="00B04249">
        <w:trPr>
          <w:jc w:val="center"/>
        </w:trPr>
        <w:tc>
          <w:tcPr>
            <w:tcW w:w="1214" w:type="dxa"/>
            <w:vMerge w:val="restart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竞赛准备</w:t>
            </w: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制定政府监管部门的主要职责</w:t>
            </w:r>
          </w:p>
        </w:tc>
        <w:tc>
          <w:tcPr>
            <w:tcW w:w="1847" w:type="dxa"/>
            <w:vMerge w:val="restart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博弈论</w:t>
            </w:r>
          </w:p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福利经济学</w:t>
            </w:r>
          </w:p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帕累托最优</w:t>
            </w:r>
          </w:p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市场失灵</w:t>
            </w:r>
          </w:p>
        </w:tc>
      </w:tr>
      <w:tr w:rsidR="00B04249">
        <w:trPr>
          <w:jc w:val="center"/>
        </w:trPr>
        <w:tc>
          <w:tcPr>
            <w:tcW w:w="1214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熟悉市场失灵的具体表现形式 </w:t>
            </w:r>
          </w:p>
        </w:tc>
        <w:tc>
          <w:tcPr>
            <w:tcW w:w="184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257"/>
          <w:jc w:val="center"/>
        </w:trPr>
        <w:tc>
          <w:tcPr>
            <w:tcW w:w="1214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熟悉生产、交换的帕累托最优条件与状态</w:t>
            </w:r>
          </w:p>
        </w:tc>
        <w:tc>
          <w:tcPr>
            <w:tcW w:w="184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255"/>
          <w:jc w:val="center"/>
        </w:trPr>
        <w:tc>
          <w:tcPr>
            <w:tcW w:w="1214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熟悉不同博弈与策略行为</w:t>
            </w:r>
          </w:p>
        </w:tc>
        <w:tc>
          <w:tcPr>
            <w:tcW w:w="184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jc w:val="center"/>
        </w:trPr>
        <w:tc>
          <w:tcPr>
            <w:tcW w:w="1214" w:type="dxa"/>
            <w:vMerge w:val="restart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比赛流程</w:t>
            </w: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实施对资本市场业务的监管</w:t>
            </w:r>
          </w:p>
        </w:tc>
        <w:tc>
          <w:tcPr>
            <w:tcW w:w="184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jc w:val="center"/>
        </w:trPr>
        <w:tc>
          <w:tcPr>
            <w:tcW w:w="1214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实施对产品市场（汽车、家电）的监管</w:t>
            </w:r>
          </w:p>
        </w:tc>
        <w:tc>
          <w:tcPr>
            <w:tcW w:w="184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jc w:val="center"/>
        </w:trPr>
        <w:tc>
          <w:tcPr>
            <w:tcW w:w="1214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汽车、家电、钢铁公司在竞争中博弈</w:t>
            </w:r>
          </w:p>
        </w:tc>
        <w:tc>
          <w:tcPr>
            <w:tcW w:w="184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jc w:val="center"/>
        </w:trPr>
        <w:tc>
          <w:tcPr>
            <w:tcW w:w="1214" w:type="dxa"/>
            <w:vMerge/>
            <w:vAlign w:val="center"/>
          </w:tcPr>
          <w:p w:rsidR="00B04249" w:rsidRDefault="00B04249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B04249" w:rsidRDefault="00A60B3F">
            <w:pPr>
              <w:pStyle w:val="a3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政府对厂商不公平竞争行为进行监管</w:t>
            </w:r>
          </w:p>
        </w:tc>
        <w:tc>
          <w:tcPr>
            <w:tcW w:w="184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.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宏观经济调控与决策。竞赛使用《经济学综合仿真实训平台》软件中宏观调控模块。每队每年竞选政府，颁布宏观经济政策，调控经济运行以达到预期目标，其他未当选政府的各组可以预测经济指标与实际偏离度，软件将根据各组宏观目标达成情况和预测准确度自动评分。</w:t>
      </w:r>
    </w:p>
    <w:p w:rsidR="00B04249" w:rsidRDefault="00A60B3F">
      <w:pPr>
        <w:tabs>
          <w:tab w:val="left" w:pos="840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（1）国民收入理论、货币市场一般均衡理论</w:t>
      </w:r>
    </w:p>
    <w:tbl>
      <w:tblPr>
        <w:tblW w:w="7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858"/>
        <w:gridCol w:w="2287"/>
      </w:tblGrid>
      <w:tr w:rsidR="00B04249">
        <w:trPr>
          <w:trHeight w:val="518"/>
          <w:tblHeader/>
          <w:jc w:val="center"/>
        </w:trPr>
        <w:tc>
          <w:tcPr>
            <w:tcW w:w="1236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竞赛模块</w:t>
            </w:r>
          </w:p>
        </w:tc>
        <w:tc>
          <w:tcPr>
            <w:tcW w:w="3858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竞赛环节</w:t>
            </w:r>
          </w:p>
        </w:tc>
        <w:tc>
          <w:tcPr>
            <w:tcW w:w="2287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涉及知识点</w:t>
            </w:r>
          </w:p>
        </w:tc>
      </w:tr>
      <w:tr w:rsidR="00B04249">
        <w:trPr>
          <w:trHeight w:val="145"/>
          <w:jc w:val="center"/>
        </w:trPr>
        <w:tc>
          <w:tcPr>
            <w:tcW w:w="1236" w:type="dxa"/>
            <w:vMerge w:val="restart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竞赛准备</w:t>
            </w:r>
          </w:p>
        </w:tc>
        <w:tc>
          <w:tcPr>
            <w:tcW w:w="3858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制定各项宏观经济统计指标</w:t>
            </w:r>
          </w:p>
        </w:tc>
        <w:tc>
          <w:tcPr>
            <w:tcW w:w="2287" w:type="dxa"/>
            <w:vMerge w:val="restart"/>
            <w:vAlign w:val="center"/>
          </w:tcPr>
          <w:p w:rsidR="00B04249" w:rsidRDefault="00A60B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凯恩斯的消费理论</w:t>
            </w:r>
          </w:p>
          <w:p w:rsidR="00B04249" w:rsidRDefault="00A60B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乘数效应与挤出效应</w:t>
            </w:r>
          </w:p>
          <w:p w:rsidR="00B04249" w:rsidRDefault="00A60B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国民收入决定理论</w:t>
            </w:r>
          </w:p>
          <w:p w:rsidR="00B04249" w:rsidRDefault="00A60B3F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IS-LM分析</w:t>
            </w:r>
          </w:p>
        </w:tc>
      </w:tr>
      <w:tr w:rsidR="00B04249">
        <w:trPr>
          <w:trHeight w:val="145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熟悉各项统计指标计算公式</w:t>
            </w:r>
          </w:p>
        </w:tc>
        <w:tc>
          <w:tcPr>
            <w:tcW w:w="228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5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熟悉通货膨胀形成的原因</w:t>
            </w:r>
          </w:p>
        </w:tc>
        <w:tc>
          <w:tcPr>
            <w:tcW w:w="228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259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熟悉简单国民收入决定因素</w:t>
            </w:r>
          </w:p>
        </w:tc>
        <w:tc>
          <w:tcPr>
            <w:tcW w:w="228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5"/>
          <w:jc w:val="center"/>
        </w:trPr>
        <w:tc>
          <w:tcPr>
            <w:tcW w:w="1236" w:type="dxa"/>
            <w:vMerge w:val="restart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比赛流程</w:t>
            </w:r>
          </w:p>
        </w:tc>
        <w:tc>
          <w:tcPr>
            <w:tcW w:w="3858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宏观经济运行数据的统计计算</w:t>
            </w:r>
          </w:p>
        </w:tc>
        <w:tc>
          <w:tcPr>
            <w:tcW w:w="228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5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宏观经济监控与分析</w:t>
            </w:r>
          </w:p>
        </w:tc>
        <w:tc>
          <w:tcPr>
            <w:tcW w:w="228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5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分析CPI、GDP变动的影响因素</w:t>
            </w:r>
          </w:p>
        </w:tc>
        <w:tc>
          <w:tcPr>
            <w:tcW w:w="228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334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58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分析利率市场波动的原因</w:t>
            </w:r>
          </w:p>
        </w:tc>
        <w:tc>
          <w:tcPr>
            <w:tcW w:w="228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4249" w:rsidRDefault="00A60B3F">
      <w:pPr>
        <w:tabs>
          <w:tab w:val="left" w:pos="840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（2）宏观经济学的经济周期与经济增长理论</w:t>
      </w:r>
    </w:p>
    <w:tbl>
      <w:tblPr>
        <w:tblW w:w="7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3647"/>
        <w:gridCol w:w="2468"/>
      </w:tblGrid>
      <w:tr w:rsidR="00B04249">
        <w:trPr>
          <w:trHeight w:val="515"/>
          <w:tblHeader/>
          <w:jc w:val="center"/>
        </w:trPr>
        <w:tc>
          <w:tcPr>
            <w:tcW w:w="1227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竞赛模块</w:t>
            </w:r>
          </w:p>
        </w:tc>
        <w:tc>
          <w:tcPr>
            <w:tcW w:w="3647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竞赛环节</w:t>
            </w:r>
          </w:p>
        </w:tc>
        <w:tc>
          <w:tcPr>
            <w:tcW w:w="2468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涉及知识点</w:t>
            </w:r>
          </w:p>
        </w:tc>
      </w:tr>
      <w:tr w:rsidR="00B04249">
        <w:trPr>
          <w:jc w:val="center"/>
        </w:trPr>
        <w:tc>
          <w:tcPr>
            <w:tcW w:w="1227" w:type="dxa"/>
            <w:vMerge w:val="restart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竞赛准备</w:t>
            </w:r>
          </w:p>
        </w:tc>
        <w:tc>
          <w:tcPr>
            <w:tcW w:w="3647" w:type="dxa"/>
            <w:vAlign w:val="center"/>
          </w:tcPr>
          <w:p w:rsidR="00B04249" w:rsidRDefault="00A60B3F">
            <w:pPr>
              <w:pStyle w:val="a3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理解短期和长期经济波动的差异</w:t>
            </w:r>
          </w:p>
        </w:tc>
        <w:tc>
          <w:tcPr>
            <w:tcW w:w="2468" w:type="dxa"/>
            <w:vMerge w:val="restart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总需求与总供给模型</w:t>
            </w:r>
          </w:p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新古典增长模型</w:t>
            </w:r>
          </w:p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经济周期理论</w:t>
            </w:r>
          </w:p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新凯恩斯主义AD-AS模型</w:t>
            </w:r>
          </w:p>
        </w:tc>
      </w:tr>
      <w:tr w:rsidR="00B04249">
        <w:trPr>
          <w:jc w:val="center"/>
        </w:trPr>
        <w:tc>
          <w:tcPr>
            <w:tcW w:w="122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B04249" w:rsidRDefault="00A60B3F">
            <w:pPr>
              <w:pStyle w:val="a3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区分经济周期不同阶段的特征</w:t>
            </w:r>
          </w:p>
        </w:tc>
        <w:tc>
          <w:tcPr>
            <w:tcW w:w="246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257"/>
          <w:jc w:val="center"/>
        </w:trPr>
        <w:tc>
          <w:tcPr>
            <w:tcW w:w="122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B04249" w:rsidRDefault="00A60B3F">
            <w:pPr>
              <w:pStyle w:val="a3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理解总需求与总供给导致的经济波动差异</w:t>
            </w:r>
          </w:p>
        </w:tc>
        <w:tc>
          <w:tcPr>
            <w:tcW w:w="246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jc w:val="center"/>
        </w:trPr>
        <w:tc>
          <w:tcPr>
            <w:tcW w:w="1227" w:type="dxa"/>
            <w:vMerge w:val="restart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比赛流程</w:t>
            </w:r>
          </w:p>
        </w:tc>
        <w:tc>
          <w:tcPr>
            <w:tcW w:w="3647" w:type="dxa"/>
          </w:tcPr>
          <w:p w:rsidR="00B04249" w:rsidRDefault="00A60B3F">
            <w:pPr>
              <w:pStyle w:val="a3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模拟游戏中经济增长的核算</w:t>
            </w:r>
          </w:p>
        </w:tc>
        <w:tc>
          <w:tcPr>
            <w:tcW w:w="246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jc w:val="center"/>
        </w:trPr>
        <w:tc>
          <w:tcPr>
            <w:tcW w:w="122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7" w:type="dxa"/>
          </w:tcPr>
          <w:p w:rsidR="00B04249" w:rsidRDefault="00A60B3F">
            <w:pPr>
              <w:pStyle w:val="a3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统计土地总供给与总需求的变化</w:t>
            </w:r>
          </w:p>
        </w:tc>
        <w:tc>
          <w:tcPr>
            <w:tcW w:w="246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jc w:val="center"/>
        </w:trPr>
        <w:tc>
          <w:tcPr>
            <w:tcW w:w="1227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647" w:type="dxa"/>
            <w:vAlign w:val="center"/>
          </w:tcPr>
          <w:p w:rsidR="00B04249" w:rsidRDefault="00A60B3F">
            <w:pPr>
              <w:pStyle w:val="a3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分析总供给和总需求变化对宏观经济的影响</w:t>
            </w:r>
          </w:p>
        </w:tc>
        <w:tc>
          <w:tcPr>
            <w:tcW w:w="246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4249" w:rsidRDefault="00A60B3F">
      <w:pPr>
        <w:tabs>
          <w:tab w:val="left" w:pos="840"/>
        </w:tabs>
        <w:spacing w:line="36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（3）财政政策与货币政策的应用</w:t>
      </w:r>
    </w:p>
    <w:tbl>
      <w:tblPr>
        <w:tblW w:w="7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3953"/>
        <w:gridCol w:w="2078"/>
      </w:tblGrid>
      <w:tr w:rsidR="00B04249">
        <w:trPr>
          <w:trHeight w:val="504"/>
          <w:tblHeader/>
          <w:jc w:val="center"/>
        </w:trPr>
        <w:tc>
          <w:tcPr>
            <w:tcW w:w="1236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竞赛模块</w:t>
            </w:r>
          </w:p>
        </w:tc>
        <w:tc>
          <w:tcPr>
            <w:tcW w:w="3953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竞赛环节</w:t>
            </w:r>
          </w:p>
        </w:tc>
        <w:tc>
          <w:tcPr>
            <w:tcW w:w="2078" w:type="dxa"/>
            <w:shd w:val="clear" w:color="auto" w:fill="E6E6E6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涉及知识点</w:t>
            </w:r>
          </w:p>
        </w:tc>
      </w:tr>
      <w:tr w:rsidR="00B04249">
        <w:trPr>
          <w:trHeight w:val="141"/>
          <w:jc w:val="center"/>
        </w:trPr>
        <w:tc>
          <w:tcPr>
            <w:tcW w:w="1236" w:type="dxa"/>
            <w:vMerge w:val="restart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竞赛准备</w:t>
            </w:r>
          </w:p>
        </w:tc>
        <w:tc>
          <w:tcPr>
            <w:tcW w:w="3953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制定游戏中政府调控经济的目标</w:t>
            </w:r>
          </w:p>
        </w:tc>
        <w:tc>
          <w:tcPr>
            <w:tcW w:w="2078" w:type="dxa"/>
            <w:vMerge w:val="restart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财政政策与货币政策</w:t>
            </w:r>
          </w:p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宏观经济政策理论及争议</w:t>
            </w:r>
          </w:p>
        </w:tc>
      </w:tr>
      <w:tr w:rsidR="00B04249">
        <w:trPr>
          <w:trHeight w:val="251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设计本游戏中不同财政政策和货币工具</w:t>
            </w:r>
          </w:p>
        </w:tc>
        <w:tc>
          <w:tcPr>
            <w:tcW w:w="207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249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制定本游戏中货币和财政工具实施规则 </w:t>
            </w:r>
          </w:p>
        </w:tc>
        <w:tc>
          <w:tcPr>
            <w:tcW w:w="207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1"/>
          <w:jc w:val="center"/>
        </w:trPr>
        <w:tc>
          <w:tcPr>
            <w:tcW w:w="1236" w:type="dxa"/>
            <w:vMerge w:val="restart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比赛流程</w:t>
            </w:r>
          </w:p>
        </w:tc>
        <w:tc>
          <w:tcPr>
            <w:tcW w:w="3953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货币政策组合工具实施</w:t>
            </w:r>
          </w:p>
        </w:tc>
        <w:tc>
          <w:tcPr>
            <w:tcW w:w="207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1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财政政策组合工具实施</w:t>
            </w:r>
          </w:p>
        </w:tc>
        <w:tc>
          <w:tcPr>
            <w:tcW w:w="207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1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根据宏观运营结果调整政策</w:t>
            </w:r>
          </w:p>
        </w:tc>
        <w:tc>
          <w:tcPr>
            <w:tcW w:w="207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04249">
        <w:trPr>
          <w:trHeight w:val="141"/>
          <w:jc w:val="center"/>
        </w:trPr>
        <w:tc>
          <w:tcPr>
            <w:tcW w:w="1236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953" w:type="dxa"/>
            <w:vAlign w:val="center"/>
          </w:tcPr>
          <w:p w:rsidR="00B04249" w:rsidRDefault="00A60B3F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检查政策是否实现了当初预定的目标</w:t>
            </w:r>
          </w:p>
        </w:tc>
        <w:tc>
          <w:tcPr>
            <w:tcW w:w="2078" w:type="dxa"/>
            <w:vMerge/>
            <w:vAlign w:val="center"/>
          </w:tcPr>
          <w:p w:rsidR="00B04249" w:rsidRDefault="00B04249">
            <w:pPr>
              <w:pStyle w:val="a3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以上两个赛项部分合为一体，计算总成绩。</w:t>
      </w:r>
    </w:p>
    <w:p w:rsidR="00B04249" w:rsidRDefault="00A60B3F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二、评分细则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各运营指标由两部分构成，第一部分为微观部分的经营企业整体情况得分；第二部分为当选政府团队的宏观经济目标实现得分，或未当选政府团队的宏观经济目标预测得分。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第一部分，权重为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40%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。以所有者权益为基础，本国内（比赛一个班级就是一个虚拟国家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）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最高者得满分，与最高者相差越大得分越低。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 xml:space="preserve"> 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第二部分，权重为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20%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GDP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CPI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、失业率、个人总收入增长率四个指标各占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5%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权重。当选政府者：按当年宏观经济目标是否实现，每个指标实现即得满分，否则得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分；超出范围的财政赤字会扣减以上得分。未当选政府者：按四大指标的预测值与实际值的偏差，偏差范围在±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2%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内得满分，否则得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分。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以上评分以虚拟国家为单位，比赛平台自动生成成绩，按照总成绩先后排名，</w:t>
      </w:r>
      <w:r w:rsidRPr="00575A96"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不跨班评比。</w:t>
      </w:r>
    </w:p>
    <w:p w:rsidR="00B04249" w:rsidRDefault="00A60B3F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三、获奖排名规则</w:t>
      </w:r>
      <w:r>
        <w:rPr>
          <w:rFonts w:ascii="宋体" w:eastAsia="宋体" w:hAnsi="宋体" w:cs="Helvetica"/>
          <w:b/>
          <w:color w:val="333333"/>
          <w:kern w:val="0"/>
          <w:sz w:val="24"/>
          <w:szCs w:val="24"/>
        </w:rPr>
        <w:t xml:space="preserve"> </w:t>
      </w:r>
    </w:p>
    <w:p w:rsidR="00B04249" w:rsidRDefault="00446330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本科生组和研究生组分设奖项。大赛设一等奖、二等奖、三等奖等三</w:t>
      </w:r>
      <w:r w:rsidR="00A60B3F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种奖项，根据报名参赛团队数量规模来确定各等级奖项名额。一等奖不超过参赛团队数比例的5%，二等奖不超过参赛团队数比例的15%，三等奖不超过参赛团队数比例的30%。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获奖级别取决于：参赛团队的班内排名。具体排名方法如下：（1）先按参赛团队数量计算出各奖项比例和数量；（2）将奖项平均分配到各比赛班级（每班团队在</w:t>
      </w:r>
      <w:r w:rsidR="00575A96">
        <w:rPr>
          <w:rFonts w:ascii="宋体" w:eastAsia="宋体" w:hAnsi="宋体" w:cs="Helvetica"/>
          <w:color w:val="333333"/>
          <w:kern w:val="0"/>
          <w:sz w:val="24"/>
          <w:szCs w:val="24"/>
        </w:rPr>
        <w:t>2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0-</w:t>
      </w:r>
      <w:r w:rsidR="00575A96">
        <w:rPr>
          <w:rFonts w:ascii="宋体" w:eastAsia="宋体" w:hAnsi="宋体" w:cs="Helvetica"/>
          <w:color w:val="333333"/>
          <w:kern w:val="0"/>
          <w:sz w:val="24"/>
          <w:szCs w:val="24"/>
        </w:rPr>
        <w:t>4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组之间）；（3）按本班级内排名确定获奖等级。如，参赛团队1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000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组，则一等奖5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组，二等奖1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50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组，三等奖3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00</w:t>
      </w:r>
      <w:r w:rsidR="00D1411C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组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。若比赛开设2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5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个班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lastRenderedPageBreak/>
        <w:t>级（每班4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组团队），则每班总分前两名为一等奖，3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~8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名二等奖，9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~20</w:t>
      </w:r>
      <w:r w:rsidR="00F53F3B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名三等奖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。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获奖成绩前2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0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名团队（按全部团队的比赛总分排序），代表学校参加</w:t>
      </w:r>
      <w:r w:rsidR="00C1068F">
        <w:rPr>
          <w:rFonts w:ascii="宋体" w:eastAsia="宋体" w:hAnsi="宋体" w:cs="Helvetica"/>
          <w:color w:val="333333"/>
          <w:kern w:val="0"/>
          <w:sz w:val="24"/>
          <w:szCs w:val="24"/>
        </w:rPr>
        <w:t>第八届</w:t>
      </w: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全国高校经济决策虚仿实验大赛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网络区域赛。（</w:t>
      </w:r>
      <w:r w:rsidR="005275C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网络区域赛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要求团队所有队员在微信公众号“上课宝”注册</w:t>
      </w:r>
      <w:r w:rsidR="005275C9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参赛，</w:t>
      </w:r>
      <w:bookmarkStart w:id="0" w:name="_GoBack"/>
      <w:bookmarkEnd w:id="0"/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团队注册信息必须和校内赛一致））</w:t>
      </w:r>
    </w:p>
    <w:p w:rsidR="00B04249" w:rsidRDefault="00A60B3F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四、</w:t>
      </w:r>
      <w:r>
        <w:rPr>
          <w:rFonts w:ascii="宋体" w:eastAsia="宋体" w:hAnsi="宋体" w:cs="Helvetica" w:hint="eastAsia"/>
          <w:b/>
          <w:bCs/>
          <w:color w:val="333333"/>
          <w:kern w:val="0"/>
          <w:sz w:val="24"/>
          <w:szCs w:val="24"/>
        </w:rPr>
        <w:t>违规责任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典型违规事项及对应责任如下表所示。其他未列明违规，参照此表界定相应责任。</w:t>
      </w:r>
    </w:p>
    <w:tbl>
      <w:tblPr>
        <w:tblStyle w:val="a9"/>
        <w:tblW w:w="8454" w:type="dxa"/>
        <w:tblLook w:val="04A0" w:firstRow="1" w:lastRow="0" w:firstColumn="1" w:lastColumn="0" w:noHBand="0" w:noVBand="1"/>
      </w:tblPr>
      <w:tblGrid>
        <w:gridCol w:w="846"/>
        <w:gridCol w:w="4536"/>
        <w:gridCol w:w="3072"/>
      </w:tblGrid>
      <w:tr w:rsidR="00B04249">
        <w:trPr>
          <w:trHeight w:val="485"/>
        </w:trPr>
        <w:tc>
          <w:tcPr>
            <w:tcW w:w="846" w:type="dxa"/>
          </w:tcPr>
          <w:p w:rsidR="00B04249" w:rsidRDefault="00A60B3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4536" w:type="dxa"/>
          </w:tcPr>
          <w:p w:rsidR="00B04249" w:rsidRDefault="00A60B3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color w:val="333333"/>
                <w:kern w:val="0"/>
                <w:sz w:val="24"/>
                <w:szCs w:val="24"/>
              </w:rPr>
              <w:t>违规事项</w:t>
            </w:r>
          </w:p>
        </w:tc>
        <w:tc>
          <w:tcPr>
            <w:tcW w:w="3072" w:type="dxa"/>
          </w:tcPr>
          <w:p w:rsidR="00B04249" w:rsidRDefault="00A60B3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Helvetic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b/>
                <w:color w:val="333333"/>
                <w:kern w:val="0"/>
                <w:sz w:val="24"/>
                <w:szCs w:val="24"/>
              </w:rPr>
              <w:t>承担责任</w:t>
            </w:r>
          </w:p>
        </w:tc>
      </w:tr>
      <w:tr w:rsidR="00B04249">
        <w:trPr>
          <w:trHeight w:val="961"/>
        </w:trPr>
        <w:tc>
          <w:tcPr>
            <w:tcW w:w="846" w:type="dxa"/>
          </w:tcPr>
          <w:p w:rsidR="00B04249" w:rsidRDefault="00A60B3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机器人托管超过</w:t>
            </w:r>
            <w:r>
              <w:rPr>
                <w:rFonts w:ascii="宋体" w:eastAsia="宋体" w:hAnsi="宋体" w:cs="Helvetica"/>
                <w:color w:val="333333"/>
              </w:rPr>
              <w:t>60%</w:t>
            </w:r>
            <w:r>
              <w:rPr>
                <w:rFonts w:ascii="宋体" w:eastAsia="宋体" w:hAnsi="宋体" w:cs="Helvetica" w:hint="eastAsia"/>
                <w:color w:val="333333"/>
              </w:rPr>
              <w:t>比例</w:t>
            </w:r>
          </w:p>
        </w:tc>
        <w:tc>
          <w:tcPr>
            <w:tcW w:w="3072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即使提交了作品，也视为弃赛将无参赛证明和获奖资格</w:t>
            </w:r>
          </w:p>
        </w:tc>
      </w:tr>
      <w:tr w:rsidR="00B04249">
        <w:trPr>
          <w:trHeight w:val="1612"/>
        </w:trPr>
        <w:tc>
          <w:tcPr>
            <w:tcW w:w="846" w:type="dxa"/>
          </w:tcPr>
          <w:p w:rsidR="00B04249" w:rsidRDefault="00A60B3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违反软件界面规则、提示的操作</w:t>
            </w:r>
          </w:p>
          <w:p w:rsidR="00B04249" w:rsidRDefault="00A60B3F">
            <w:pPr>
              <w:widowControl/>
              <w:shd w:val="clear" w:color="auto" w:fill="FFFFFF"/>
              <w:spacing w:line="360" w:lineRule="auto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损己利人或损人利己方式进行私下串通交易</w:t>
            </w:r>
            <w:r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取消本次操作获利并在软件中按获利金额罚款</w:t>
            </w:r>
            <w:r>
              <w:rPr>
                <w:rFonts w:ascii="宋体" w:eastAsia="宋体" w:hAnsi="宋体" w:cs="Helvetica"/>
                <w:color w:val="333333"/>
              </w:rPr>
              <w:t>1-5</w:t>
            </w:r>
            <w:r>
              <w:rPr>
                <w:rFonts w:ascii="宋体" w:eastAsia="宋体" w:hAnsi="宋体" w:cs="Helvetica" w:hint="eastAsia"/>
                <w:color w:val="333333"/>
              </w:rPr>
              <w:t>倍。如无法计算获利金额，将降低获奖等级，或取消晋级资格</w:t>
            </w:r>
          </w:p>
        </w:tc>
      </w:tr>
      <w:tr w:rsidR="00B04249">
        <w:trPr>
          <w:trHeight w:val="1612"/>
        </w:trPr>
        <w:tc>
          <w:tcPr>
            <w:tcW w:w="846" w:type="dxa"/>
          </w:tcPr>
          <w:p w:rsidR="00B04249" w:rsidRDefault="00A60B3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接受非本组成员指导、提供辅助决策</w:t>
            </w:r>
          </w:p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由非本组成员操作</w:t>
            </w:r>
          </w:p>
          <w:p w:rsidR="00B04249" w:rsidRDefault="00A60B3F">
            <w:pPr>
              <w:widowControl/>
              <w:shd w:val="clear" w:color="auto" w:fill="FFFFFF"/>
              <w:spacing w:line="360" w:lineRule="auto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发布虚假消息等方式扰乱其他团队的经营</w:t>
            </w:r>
          </w:p>
        </w:tc>
        <w:tc>
          <w:tcPr>
            <w:tcW w:w="3072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将视严重程度降低获奖等级，或取消晋级资格、获奖资格</w:t>
            </w:r>
          </w:p>
        </w:tc>
      </w:tr>
      <w:tr w:rsidR="00B04249">
        <w:trPr>
          <w:trHeight w:val="971"/>
        </w:trPr>
        <w:tc>
          <w:tcPr>
            <w:tcW w:w="846" w:type="dxa"/>
          </w:tcPr>
          <w:p w:rsidR="00B04249" w:rsidRDefault="00A60B3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在各场合有侮辱诋毁参赛选手或指导老师等行为</w:t>
            </w:r>
          </w:p>
        </w:tc>
        <w:tc>
          <w:tcPr>
            <w:tcW w:w="3072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责令口头或书面致歉，严重者将取消参赛资格或承担相应法律责任</w:t>
            </w:r>
          </w:p>
        </w:tc>
      </w:tr>
      <w:tr w:rsidR="00B04249">
        <w:trPr>
          <w:trHeight w:val="640"/>
        </w:trPr>
        <w:tc>
          <w:tcPr>
            <w:tcW w:w="846" w:type="dxa"/>
          </w:tcPr>
          <w:p w:rsidR="00B04249" w:rsidRDefault="00A60B3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使用任何技术手段攻击比赛系统或改写后台数据，不得违规调用接口作弊</w:t>
            </w:r>
          </w:p>
        </w:tc>
        <w:tc>
          <w:tcPr>
            <w:tcW w:w="3072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取消参赛资格</w:t>
            </w:r>
          </w:p>
        </w:tc>
      </w:tr>
      <w:tr w:rsidR="00B04249">
        <w:trPr>
          <w:trHeight w:val="971"/>
        </w:trPr>
        <w:tc>
          <w:tcPr>
            <w:tcW w:w="846" w:type="dxa"/>
          </w:tcPr>
          <w:p w:rsidR="00B04249" w:rsidRDefault="00A60B3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Helvetica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Helvetica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利用接口攻击软件、利用媒体或网络恶意诽谤或诋毁大赛</w:t>
            </w:r>
          </w:p>
        </w:tc>
        <w:tc>
          <w:tcPr>
            <w:tcW w:w="3072" w:type="dxa"/>
          </w:tcPr>
          <w:p w:rsidR="00B04249" w:rsidRDefault="00A60B3F">
            <w:pPr>
              <w:pStyle w:val="Default"/>
              <w:shd w:val="clear" w:color="auto" w:fill="FFFFFF"/>
              <w:jc w:val="both"/>
              <w:rPr>
                <w:rFonts w:ascii="宋体" w:eastAsia="宋体" w:hAnsi="宋体" w:cs="Helvetica"/>
                <w:color w:val="333333"/>
              </w:rPr>
            </w:pPr>
            <w:r>
              <w:rPr>
                <w:rFonts w:ascii="宋体" w:eastAsia="宋体" w:hAnsi="宋体" w:cs="Helvetica" w:hint="eastAsia"/>
                <w:color w:val="333333"/>
              </w:rPr>
              <w:t>取消参赛资格，并列入黑名单永久禁赛，并可能承担相应法律责任</w:t>
            </w:r>
          </w:p>
        </w:tc>
      </w:tr>
    </w:tbl>
    <w:p w:rsidR="00B04249" w:rsidRDefault="00A60B3F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/>
          <w:color w:val="333333"/>
          <w:kern w:val="0"/>
          <w:sz w:val="24"/>
          <w:szCs w:val="24"/>
        </w:rPr>
        <w:t>五、比赛培训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color w:val="333333"/>
          <w:kern w:val="0"/>
          <w:sz w:val="24"/>
          <w:szCs w:val="24"/>
        </w:rPr>
        <w:t>1.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网络视频学习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</w:t>
      </w:r>
      <w:r w:rsidR="008D6CB1">
        <w:rPr>
          <w:rFonts w:ascii="宋体" w:eastAsia="宋体" w:hAnsi="宋体" w:cs="Helvetica"/>
          <w:color w:val="333333"/>
          <w:kern w:val="0"/>
          <w:sz w:val="24"/>
          <w:szCs w:val="24"/>
        </w:rPr>
        <w:t>1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）学生操作手册（详见</w:t>
      </w:r>
      <w:r w:rsidR="00327D8C" w:rsidRPr="00327D8C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赛事交流QQ群：872582540</w:t>
      </w:r>
      <w:r w:rsidR="00327D8C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群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文件）</w:t>
      </w:r>
    </w:p>
    <w:p w:rsidR="00B04249" w:rsidRDefault="00780BB3">
      <w:pPr>
        <w:widowControl/>
        <w:shd w:val="clear" w:color="auto" w:fill="FFFFFF"/>
        <w:spacing w:line="360" w:lineRule="auto"/>
        <w:ind w:firstLineChars="200" w:firstLine="420"/>
        <w:jc w:val="center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1908402" cy="1885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402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</w:t>
      </w:r>
      <w:r w:rsidR="008D6CB1">
        <w:rPr>
          <w:rFonts w:ascii="宋体" w:eastAsia="宋体" w:hAnsi="宋体" w:cs="Helvetica"/>
          <w:color w:val="333333"/>
          <w:kern w:val="0"/>
          <w:sz w:val="24"/>
          <w:szCs w:val="24"/>
        </w:rPr>
        <w:t>2</w:t>
      </w:r>
      <w:r w:rsidR="00780BB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）比赛培训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视频：</w:t>
      </w:r>
    </w:p>
    <w:p w:rsidR="00B04249" w:rsidRDefault="00375F72">
      <w:pPr>
        <w:widowControl/>
        <w:shd w:val="clear" w:color="auto" w:fill="FFFFFF"/>
        <w:spacing w:line="360" w:lineRule="auto"/>
        <w:ind w:firstLineChars="200" w:firstLine="420"/>
      </w:pPr>
      <w:hyperlink r:id="rId7" w:history="1">
        <w:r w:rsidR="00A60B3F">
          <w:rPr>
            <w:rStyle w:val="ab"/>
          </w:rPr>
          <w:t>https://meeting.tencent.com/user-center/shared-recor</w:t>
        </w:r>
        <w:r w:rsidR="00A60B3F">
          <w:rPr>
            <w:rStyle w:val="ab"/>
          </w:rPr>
          <w:t>d</w:t>
        </w:r>
        <w:r w:rsidR="00A60B3F">
          <w:rPr>
            <w:rStyle w:val="ab"/>
          </w:rPr>
          <w:t>-info?id=745447a8-abb3-42ea-9116-22872af74345&amp;is-single=false&amp;record_type=2&amp;from=3</w:t>
        </w:r>
      </w:hyperlink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（</w:t>
      </w:r>
      <w:r w:rsidR="008D6CB1">
        <w:rPr>
          <w:rFonts w:ascii="宋体" w:eastAsia="宋体" w:hAnsi="宋体" w:cs="Helvetica"/>
          <w:color w:val="333333"/>
          <w:kern w:val="0"/>
          <w:sz w:val="24"/>
          <w:szCs w:val="24"/>
        </w:rPr>
        <w:t>3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）规则学习：比赛平台软件界面</w:t>
      </w:r>
      <w:r w:rsidR="00780BB3"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——</w:t>
      </w:r>
      <w:r>
        <w:rPr>
          <w:rFonts w:ascii="宋体" w:eastAsia="宋体" w:hAnsi="宋体" w:cs="Helvetica" w:hint="eastAsia"/>
          <w:color w:val="333333"/>
          <w:kern w:val="0"/>
          <w:sz w:val="24"/>
          <w:szCs w:val="24"/>
        </w:rPr>
        <w:t>“制胜法宝”——学员手册</w:t>
      </w:r>
    </w:p>
    <w:p w:rsidR="00B04249" w:rsidRDefault="00A60B3F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Helvetica"/>
          <w:color w:val="333333"/>
          <w:kern w:val="0"/>
          <w:sz w:val="24"/>
          <w:szCs w:val="24"/>
        </w:rPr>
      </w:pPr>
      <w:r>
        <w:rPr>
          <w:rFonts w:ascii="宋体" w:eastAsia="宋体" w:hAnsi="宋体" w:cs="Helvetica"/>
          <w:bCs/>
          <w:color w:val="333333"/>
          <w:kern w:val="0"/>
          <w:sz w:val="24"/>
          <w:szCs w:val="24"/>
        </w:rPr>
        <w:t>2.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线下答疑（具体时间大赛Q</w:t>
      </w:r>
      <w:r>
        <w:rPr>
          <w:rFonts w:ascii="宋体" w:eastAsia="宋体" w:hAnsi="宋体" w:cs="Helvetica"/>
          <w:bCs/>
          <w:color w:val="333333"/>
          <w:kern w:val="0"/>
          <w:sz w:val="24"/>
          <w:szCs w:val="24"/>
        </w:rPr>
        <w:t>Q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群另行通知）</w:t>
      </w:r>
    </w:p>
    <w:p w:rsidR="00B04249" w:rsidRDefault="00B04249">
      <w:pPr>
        <w:widowControl/>
        <w:shd w:val="clear" w:color="auto" w:fill="FFFFFF"/>
        <w:spacing w:line="360" w:lineRule="auto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</w:p>
    <w:p w:rsidR="00B04249" w:rsidRDefault="00A60B3F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经济学院</w:t>
      </w:r>
    </w:p>
    <w:p w:rsidR="00B04249" w:rsidRDefault="00A60B3F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Helvetica"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二〇二</w:t>
      </w:r>
      <w:r w:rsidR="00780BB3"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五年四月二十三</w:t>
      </w:r>
      <w:r>
        <w:rPr>
          <w:rFonts w:ascii="宋体" w:eastAsia="宋体" w:hAnsi="宋体" w:cs="Helvetica" w:hint="eastAsia"/>
          <w:bCs/>
          <w:color w:val="333333"/>
          <w:kern w:val="0"/>
          <w:sz w:val="24"/>
          <w:szCs w:val="24"/>
        </w:rPr>
        <w:t>日</w:t>
      </w:r>
    </w:p>
    <w:sectPr w:rsidR="00B04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72" w:rsidRDefault="00375F72" w:rsidP="007B0E4E">
      <w:r>
        <w:separator/>
      </w:r>
    </w:p>
  </w:endnote>
  <w:endnote w:type="continuationSeparator" w:id="0">
    <w:p w:rsidR="00375F72" w:rsidRDefault="00375F72" w:rsidP="007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 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72" w:rsidRDefault="00375F72" w:rsidP="007B0E4E">
      <w:r>
        <w:separator/>
      </w:r>
    </w:p>
  </w:footnote>
  <w:footnote w:type="continuationSeparator" w:id="0">
    <w:p w:rsidR="00375F72" w:rsidRDefault="00375F72" w:rsidP="007B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zYmY1MThjMjM5MThiM2EyMmI0MGVmYjI4Y2IzZTUifQ=="/>
  </w:docVars>
  <w:rsids>
    <w:rsidRoot w:val="00A8536B"/>
    <w:rsid w:val="0004334B"/>
    <w:rsid w:val="00072CC0"/>
    <w:rsid w:val="00085493"/>
    <w:rsid w:val="000A0193"/>
    <w:rsid w:val="000C614A"/>
    <w:rsid w:val="00104BA7"/>
    <w:rsid w:val="001115F1"/>
    <w:rsid w:val="00112D49"/>
    <w:rsid w:val="00183087"/>
    <w:rsid w:val="001A7839"/>
    <w:rsid w:val="00247D43"/>
    <w:rsid w:val="002645E7"/>
    <w:rsid w:val="003215B0"/>
    <w:rsid w:val="00327D8C"/>
    <w:rsid w:val="00340D2A"/>
    <w:rsid w:val="0034576B"/>
    <w:rsid w:val="003753C2"/>
    <w:rsid w:val="00375F72"/>
    <w:rsid w:val="003F51AA"/>
    <w:rsid w:val="0040671D"/>
    <w:rsid w:val="00427ABC"/>
    <w:rsid w:val="00446330"/>
    <w:rsid w:val="004503C4"/>
    <w:rsid w:val="004B123E"/>
    <w:rsid w:val="004D1AC9"/>
    <w:rsid w:val="004D6D5C"/>
    <w:rsid w:val="004E123F"/>
    <w:rsid w:val="00517F59"/>
    <w:rsid w:val="005275C9"/>
    <w:rsid w:val="00552E7A"/>
    <w:rsid w:val="005705C8"/>
    <w:rsid w:val="00575A96"/>
    <w:rsid w:val="005A1AD2"/>
    <w:rsid w:val="006113E7"/>
    <w:rsid w:val="0068707D"/>
    <w:rsid w:val="006909AA"/>
    <w:rsid w:val="006D540B"/>
    <w:rsid w:val="006E59AD"/>
    <w:rsid w:val="00717300"/>
    <w:rsid w:val="00780BB3"/>
    <w:rsid w:val="00783D53"/>
    <w:rsid w:val="00785FF3"/>
    <w:rsid w:val="007A49BB"/>
    <w:rsid w:val="007B0E4E"/>
    <w:rsid w:val="007B7CEA"/>
    <w:rsid w:val="00822DC1"/>
    <w:rsid w:val="0082520B"/>
    <w:rsid w:val="0083654C"/>
    <w:rsid w:val="00874E79"/>
    <w:rsid w:val="008D594C"/>
    <w:rsid w:val="008D6B94"/>
    <w:rsid w:val="008D6CB1"/>
    <w:rsid w:val="00927B05"/>
    <w:rsid w:val="0095705D"/>
    <w:rsid w:val="009F1E42"/>
    <w:rsid w:val="009F54E5"/>
    <w:rsid w:val="00A12079"/>
    <w:rsid w:val="00A60B3F"/>
    <w:rsid w:val="00A8536B"/>
    <w:rsid w:val="00AD7BBA"/>
    <w:rsid w:val="00AF7201"/>
    <w:rsid w:val="00B04249"/>
    <w:rsid w:val="00B85919"/>
    <w:rsid w:val="00BE796E"/>
    <w:rsid w:val="00C1068F"/>
    <w:rsid w:val="00C36003"/>
    <w:rsid w:val="00C826B1"/>
    <w:rsid w:val="00CF565A"/>
    <w:rsid w:val="00CF711B"/>
    <w:rsid w:val="00D05012"/>
    <w:rsid w:val="00D1411C"/>
    <w:rsid w:val="00D3473F"/>
    <w:rsid w:val="00DA5C89"/>
    <w:rsid w:val="00DA5C9B"/>
    <w:rsid w:val="00DB00A5"/>
    <w:rsid w:val="00E543E1"/>
    <w:rsid w:val="00EA6C8F"/>
    <w:rsid w:val="00EB7AB3"/>
    <w:rsid w:val="00F53F3B"/>
    <w:rsid w:val="00FC0B61"/>
    <w:rsid w:val="00FC40B1"/>
    <w:rsid w:val="00FE2662"/>
    <w:rsid w:val="00FF2DF2"/>
    <w:rsid w:val="00FF77C3"/>
    <w:rsid w:val="457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0DF4"/>
  <w15:docId w15:val="{1D48786C-AAFC-4CE5-A608-C237DC6B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4">
    <w:name w:val="纯文本 字符"/>
    <w:basedOn w:val="a0"/>
    <w:link w:val="a3"/>
    <w:rPr>
      <w:rFonts w:ascii="宋体" w:eastAsia="宋体" w:hAnsi="Courier New" w:cs="Times New Roman"/>
      <w:szCs w:val="20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eeting.tencent.com/user-center/shared-record-info?id=745447a8-abb3-42ea-9116-22872af74345&amp;is-single=false&amp;record_type=2&amp;from=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Administrator</cp:lastModifiedBy>
  <cp:revision>42</cp:revision>
  <dcterms:created xsi:type="dcterms:W3CDTF">2024-04-24T16:35:00Z</dcterms:created>
  <dcterms:modified xsi:type="dcterms:W3CDTF">2025-04-24T02:35:00Z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98F40E05BE654937965B041D9E81FEBC_12</vt:lpwstr>
  </property>
</Properties>
</file>