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1E" w:rsidRDefault="005E6C32" w:rsidP="00974CD0">
      <w:pPr>
        <w:widowControl/>
        <w:shd w:val="clear" w:color="auto" w:fill="FFFFFF"/>
        <w:adjustRightInd w:val="0"/>
        <w:snapToGrid w:val="0"/>
        <w:spacing w:afterLines="100" w:line="0" w:lineRule="atLeast"/>
        <w:rPr>
          <w:rFonts w:ascii="Times New Roman Regular" w:eastAsia="楷体_GB2312" w:hAnsi="Times New Roman Regular" w:cs="Times New Roman Regular" w:hint="eastAsia"/>
          <w:b/>
          <w:spacing w:val="-4"/>
          <w:kern w:val="0"/>
          <w:sz w:val="32"/>
          <w:szCs w:val="28"/>
        </w:rPr>
      </w:pP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附件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1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：</w:t>
      </w:r>
    </w:p>
    <w:p w:rsidR="001F7A1E" w:rsidRDefault="005E6C32" w:rsidP="00974CD0">
      <w:pPr>
        <w:widowControl/>
        <w:shd w:val="clear" w:color="auto" w:fill="FFFFFF"/>
        <w:adjustRightInd w:val="0"/>
        <w:snapToGrid w:val="0"/>
        <w:spacing w:afterLines="50" w:line="0" w:lineRule="atLeast"/>
        <w:jc w:val="center"/>
        <w:rPr>
          <w:rFonts w:ascii="Times New Roman Regular" w:eastAsia="楷体_GB2312" w:hAnsi="Times New Roman Regular" w:cs="Times New Roman Regular" w:hint="eastAsia"/>
          <w:b/>
          <w:spacing w:val="-4"/>
          <w:kern w:val="0"/>
          <w:sz w:val="32"/>
          <w:szCs w:val="28"/>
        </w:rPr>
      </w:pP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安徽财经大学第</w:t>
      </w:r>
      <w:r>
        <w:rPr>
          <w:rFonts w:ascii="Times New Roman Regular" w:eastAsia="楷体_GB2312" w:hAnsi="Times New Roman Regular" w:cs="Times New Roman Regular" w:hint="eastAsia"/>
          <w:b/>
          <w:spacing w:val="-4"/>
          <w:kern w:val="0"/>
          <w:sz w:val="32"/>
          <w:szCs w:val="28"/>
          <w:lang/>
        </w:rPr>
        <w:t>三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届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“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晟川杯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”</w:t>
      </w: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法律文书写作大赛</w:t>
      </w:r>
    </w:p>
    <w:p w:rsidR="001F7A1E" w:rsidRDefault="005E6C32" w:rsidP="00974CD0">
      <w:pPr>
        <w:widowControl/>
        <w:shd w:val="clear" w:color="auto" w:fill="FFFFFF"/>
        <w:adjustRightInd w:val="0"/>
        <w:snapToGrid w:val="0"/>
        <w:spacing w:afterLines="50" w:line="0" w:lineRule="atLeast"/>
        <w:jc w:val="center"/>
        <w:rPr>
          <w:rFonts w:ascii="Times New Roman Regular" w:eastAsia="楷体_GB2312" w:hAnsi="Times New Roman Regular" w:cs="Times New Roman Regular" w:hint="eastAsia"/>
          <w:b/>
          <w:spacing w:val="-4"/>
          <w:kern w:val="0"/>
          <w:sz w:val="32"/>
          <w:szCs w:val="28"/>
        </w:rPr>
      </w:pPr>
      <w:r>
        <w:rPr>
          <w:rFonts w:ascii="Times New Roman Regular" w:eastAsia="楷体_GB2312" w:hAnsi="Times New Roman Regular" w:cs="Times New Roman Regular"/>
          <w:b/>
          <w:spacing w:val="-4"/>
          <w:kern w:val="0"/>
          <w:sz w:val="32"/>
          <w:szCs w:val="28"/>
        </w:rPr>
        <w:t>赛事指南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黑体" w:hAnsi="Times New Roman Regular" w:cs="Times New Roman Regular" w:hint="eastAsia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一、比赛方式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本次法律文书写作大赛采用自由创作、汇总提交、组委会评选的比赛形式。选手根据给定的案件材料，在规定的时间内，</w:t>
      </w:r>
      <w:r>
        <w:rPr>
          <w:rFonts w:ascii="Times New Roman Regular" w:eastAsia="仿宋" w:hAnsi="Times New Roman Regular" w:cs="Times New Roman Regular" w:hint="eastAsia"/>
          <w:color w:val="000000" w:themeColor="text1"/>
          <w:sz w:val="32"/>
          <w:szCs w:val="32"/>
        </w:rPr>
        <w:t>独立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制作相应的法律文书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 w:hint="eastAsia"/>
          <w:b/>
          <w:sz w:val="32"/>
          <w:szCs w:val="32"/>
        </w:rPr>
        <w:t>独立手写法律文书，打印稿无效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</w:rPr>
        <w:t>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二、比赛内容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请选手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根据附件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中提供的案例和相关证据材料，</w:t>
      </w:r>
      <w:r>
        <w:rPr>
          <w:rFonts w:ascii="Times New Roman Regular" w:eastAsia="仿宋" w:hAnsi="Times New Roman Regular" w:cs="Times New Roman Regular" w:hint="eastAsia"/>
          <w:b/>
          <w:sz w:val="32"/>
          <w:szCs w:val="32"/>
        </w:rPr>
        <w:t>以</w:t>
      </w:r>
      <w:r>
        <w:rPr>
          <w:rFonts w:ascii="Times New Roman Regular" w:eastAsia="仿宋" w:hAnsi="Times New Roman Regular" w:cs="Times New Roman Regular" w:hint="eastAsia"/>
          <w:b/>
          <w:sz w:val="32"/>
          <w:szCs w:val="32"/>
          <w:lang/>
        </w:rPr>
        <w:t>靳东</w:t>
      </w:r>
      <w:bookmarkStart w:id="0" w:name="_GoBack"/>
      <w:bookmarkEnd w:id="0"/>
      <w:r>
        <w:rPr>
          <w:rFonts w:ascii="Times New Roman Regular" w:eastAsia="仿宋" w:hAnsi="Times New Roman Regular" w:cs="Times New Roman Regular" w:hint="eastAsia"/>
          <w:b/>
          <w:sz w:val="32"/>
          <w:szCs w:val="32"/>
        </w:rPr>
        <w:t>辩护人身份，为其书写一份庭审辩护词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三、评分标准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比赛将从参赛作品的六个维度进行综合评价，评价标准包括：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1.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法律文书格式规范。符合最高人民法院《人民法院诉讼文书格式标准》、《法院诉讼文书样式》等格式要求。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2.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事实叙述完整，明确争议焦点。厘清当事人之间法律关系，诉讼请求、争议事实叙述清楚，详略得当。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3.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理由阐释充分、严谨，具有针对性和说服力。紧扣主题，依据事实和法律进行分析论证，观点明确，逻辑严谨，论证有力，注重情、理、法的协调统一。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4.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适用法律准确全面。引用法律条文具体、明确，程序法和实体法适用顺序得当。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5.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语言准确、精练、朴实、庄重。符合法律文书语体写</w:t>
      </w:r>
      <w:r>
        <w:rPr>
          <w:rFonts w:ascii="Times New Roman Regular" w:eastAsia="仿宋" w:hAnsi="Times New Roman Regular" w:cs="Times New Roman Regular"/>
          <w:sz w:val="32"/>
          <w:szCs w:val="32"/>
        </w:rPr>
        <w:lastRenderedPageBreak/>
        <w:t>作要求，用准确、恰当的词语和句式客观地反映法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律文书的各项内容，规范使用法言法语，展示法律文书语言朴实、庄重的风格。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6.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卷面布局合理，整齐规范，整洁美观。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黑体" w:hAnsi="Times New Roman Regular" w:cs="Times New Roman Regular" w:hint="eastAsia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四、评委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（一）评委的组成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考虑到比赛的公平性和专业性，本次大赛的评委由法学院专任教师和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实务专家担任评委。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 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（二）评审的规则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同一份参赛作品由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位评委分别赋分，取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人赋分的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平均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分作为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该选手的得分。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其中前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25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%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再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由第</w:t>
      </w:r>
      <w:r>
        <w:rPr>
          <w:rFonts w:ascii="Times New Roman Regular" w:eastAsia="仿宋" w:hAnsi="Times New Roman Regular" w:cs="Times New Roman Regular"/>
          <w:sz w:val="32"/>
          <w:szCs w:val="32"/>
        </w:rPr>
        <w:t>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位评委赋分，取</w:t>
      </w:r>
      <w:r>
        <w:rPr>
          <w:rFonts w:ascii="Times New Roman Regular" w:eastAsia="仿宋" w:hAnsi="Times New Roman Regular" w:cs="Times New Roman Regular"/>
          <w:sz w:val="32"/>
          <w:szCs w:val="32"/>
        </w:rPr>
        <w:t>3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位评委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的平均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分作为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该选手的最终得分。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（三）专业点评</w:t>
      </w:r>
    </w:p>
    <w:p w:rsidR="001F7A1E" w:rsidRDefault="005E6C32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赛事点评将在闭幕式环节中邀请法律专家进行点评。</w:t>
      </w:r>
    </w:p>
    <w:p w:rsidR="001F7A1E" w:rsidRDefault="001F7A1E">
      <w:pPr>
        <w:spacing w:line="560" w:lineRule="exact"/>
        <w:ind w:firstLineChars="200" w:firstLine="640"/>
        <w:jc w:val="left"/>
        <w:rPr>
          <w:rFonts w:ascii="Times New Roman Regular" w:eastAsia="仿宋" w:hAnsi="Times New Roman Regular" w:cs="Times New Roman Regular" w:hint="eastAsia"/>
          <w:sz w:val="32"/>
          <w:szCs w:val="32"/>
        </w:rPr>
      </w:pPr>
    </w:p>
    <w:sectPr w:rsidR="001F7A1E" w:rsidSect="001F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32" w:rsidRDefault="005E6C32" w:rsidP="00974CD0">
      <w:r>
        <w:separator/>
      </w:r>
    </w:p>
  </w:endnote>
  <w:endnote w:type="continuationSeparator" w:id="0">
    <w:p w:rsidR="005E6C32" w:rsidRDefault="005E6C32" w:rsidP="0097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32" w:rsidRDefault="005E6C32" w:rsidP="00974CD0">
      <w:r>
        <w:separator/>
      </w:r>
    </w:p>
  </w:footnote>
  <w:footnote w:type="continuationSeparator" w:id="0">
    <w:p w:rsidR="005E6C32" w:rsidRDefault="005E6C32" w:rsidP="00974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275244"/>
    <w:rsid w:val="BDFF3EC0"/>
    <w:rsid w:val="EFFB14F5"/>
    <w:rsid w:val="F3FA5224"/>
    <w:rsid w:val="F6F61999"/>
    <w:rsid w:val="FF4FEFFC"/>
    <w:rsid w:val="0001706E"/>
    <w:rsid w:val="000D780F"/>
    <w:rsid w:val="001F7A1E"/>
    <w:rsid w:val="003004B9"/>
    <w:rsid w:val="00466AB7"/>
    <w:rsid w:val="00495B9D"/>
    <w:rsid w:val="005E6C32"/>
    <w:rsid w:val="006C7EA2"/>
    <w:rsid w:val="00784357"/>
    <w:rsid w:val="007E7D6C"/>
    <w:rsid w:val="008233F9"/>
    <w:rsid w:val="00866337"/>
    <w:rsid w:val="00903F89"/>
    <w:rsid w:val="00907396"/>
    <w:rsid w:val="00936BEE"/>
    <w:rsid w:val="00974CD0"/>
    <w:rsid w:val="00A41232"/>
    <w:rsid w:val="00AA75A4"/>
    <w:rsid w:val="00AB72A9"/>
    <w:rsid w:val="00AF0DF2"/>
    <w:rsid w:val="00B72E3E"/>
    <w:rsid w:val="00BC2406"/>
    <w:rsid w:val="00BF4276"/>
    <w:rsid w:val="00C06075"/>
    <w:rsid w:val="00C16884"/>
    <w:rsid w:val="00C87806"/>
    <w:rsid w:val="00D72906"/>
    <w:rsid w:val="00F32A3E"/>
    <w:rsid w:val="00F90615"/>
    <w:rsid w:val="00FC7626"/>
    <w:rsid w:val="1F275244"/>
    <w:rsid w:val="36FF7AFF"/>
    <w:rsid w:val="3BDF06FE"/>
    <w:rsid w:val="5DFFF7DB"/>
    <w:rsid w:val="6FDF1F33"/>
    <w:rsid w:val="704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F7A1E"/>
    <w:pPr>
      <w:jc w:val="left"/>
    </w:pPr>
  </w:style>
  <w:style w:type="paragraph" w:styleId="a4">
    <w:name w:val="Balloon Text"/>
    <w:basedOn w:val="a"/>
    <w:link w:val="Char0"/>
    <w:qFormat/>
    <w:rsid w:val="001F7A1E"/>
    <w:rPr>
      <w:sz w:val="18"/>
      <w:szCs w:val="18"/>
    </w:rPr>
  </w:style>
  <w:style w:type="paragraph" w:styleId="a5">
    <w:name w:val="footer"/>
    <w:basedOn w:val="a"/>
    <w:link w:val="Char1"/>
    <w:qFormat/>
    <w:rsid w:val="001F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F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1F7A1E"/>
    <w:rPr>
      <w:b/>
      <w:bCs/>
    </w:rPr>
  </w:style>
  <w:style w:type="character" w:styleId="a8">
    <w:name w:val="annotation reference"/>
    <w:basedOn w:val="a0"/>
    <w:qFormat/>
    <w:rsid w:val="001F7A1E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1F7A1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1F7A1E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1F7A1E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1F7A1E"/>
    <w:rPr>
      <w:b/>
      <w:bCs/>
    </w:rPr>
  </w:style>
  <w:style w:type="character" w:customStyle="1" w:styleId="Char0">
    <w:name w:val="批注框文本 Char"/>
    <w:basedOn w:val="a0"/>
    <w:link w:val="a4"/>
    <w:qFormat/>
    <w:rsid w:val="001F7A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爱笑米乐</dc:creator>
  <cp:lastModifiedBy>高海</cp:lastModifiedBy>
  <cp:revision>18</cp:revision>
  <dcterms:created xsi:type="dcterms:W3CDTF">2019-05-06T15:27:00Z</dcterms:created>
  <dcterms:modified xsi:type="dcterms:W3CDTF">2022-10-12T00:44:00Z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E66FFA376A4A1264E7444563F0D7FA97</vt:lpwstr>
  </property>
</Properties>
</file>