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附件1：</w:t>
      </w: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安徽省大学生学习马克思主义理论成果大赛</w:t>
      </w: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校内选拔赛评分标准</w:t>
      </w:r>
    </w:p>
    <w:tbl>
      <w:tblPr>
        <w:tblStyle w:val="3"/>
        <w:tblW w:w="872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47"/>
        <w:gridCol w:w="6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评阅项目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评阅要素</w:t>
            </w:r>
          </w:p>
        </w:tc>
        <w:tc>
          <w:tcPr>
            <w:tcW w:w="6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选题与</w:t>
            </w:r>
          </w:p>
          <w:p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规范3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成果选题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规范性（1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成果水平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成果与新解（4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35~40分：在理论与实践方面有独到之处，成果突出。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19~29分：有新见解，成果在理论或实际上有意义。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基础理论与专门知识（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18~20分：具有坚实的基础理论和系统的专门知识。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15~17分：较好地掌握坚实的基础理论和系统的专门知识。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12~14分：掌握较坚实的基础理论和较系统的专门知识。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3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left="-107" w:leftChars="-51" w:firstLine="482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成果工作量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9~10分：做了大量有效的研究工作。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7~8分：有效工作量较大。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5~6分：有效工作量尚可。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3~4分：工作量不足或工作效率低。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2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13F76D-A692-49A7-BB69-41E9F8CD1376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07DD4D83-FA2A-4F5C-B7B8-947025C551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7FC06122"/>
    <w:rsid w:val="08C201AC"/>
    <w:rsid w:val="7F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654</Characters>
  <Lines>0</Lines>
  <Paragraphs>0</Paragraphs>
  <TotalTime>0</TotalTime>
  <ScaleCrop>false</ScaleCrop>
  <LinksUpToDate>false</LinksUpToDate>
  <CharactersWithSpaces>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2021-07-30T06:41:00Z</dcterms:created>
  <dc:creator>胡润鸿</dc:creator>
  <cp:lastModifiedBy>ASUS</cp:lastModifiedBy>
  <dcterms:modified xsi:type="dcterms:W3CDTF">2024-07-26T03:13:08Z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317765947_cloud</vt:lpwstr>
  </property>
  <property fmtid="{D5CDD505-2E9C-101B-9397-08002B2CF9AE}" pid="4" name="ICV">
    <vt:lpwstr>3D6A3785DF3548C2A9827D1191F79153_12</vt:lpwstr>
  </property>
</Properties>
</file>