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288" w:lineRule="auto"/>
        <w:jc w:val="left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附件1：</w:t>
      </w:r>
    </w:p>
    <w:p>
      <w:pPr>
        <w:widowControl/>
        <w:snapToGrid w:val="0"/>
        <w:spacing w:line="360" w:lineRule="auto"/>
        <w:ind w:firstLine="560" w:firstLineChars="200"/>
        <w:jc w:val="center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赛</w:t>
      </w:r>
      <w:r>
        <w:rPr>
          <w:rFonts w:ascii="仿宋" w:hAnsi="仿宋" w:eastAsia="仿宋" w:cs="仿宋"/>
          <w:color w:val="000000"/>
          <w:sz w:val="28"/>
          <w:szCs w:val="28"/>
        </w:rPr>
        <w:t>事指南</w:t>
      </w:r>
    </w:p>
    <w:p>
      <w:pPr>
        <w:pStyle w:val="7"/>
        <w:spacing w:line="360" w:lineRule="auto"/>
        <w:ind w:firstLine="482" w:firstLineChars="20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一</w:t>
      </w:r>
      <w:r>
        <w:rPr>
          <w:rFonts w:ascii="仿宋" w:hAnsi="仿宋" w:eastAsia="仿宋"/>
          <w:sz w:val="24"/>
          <w:szCs w:val="24"/>
        </w:rPr>
        <w:t>、</w:t>
      </w:r>
      <w:r>
        <w:rPr>
          <w:rFonts w:hint="eastAsia" w:ascii="仿宋" w:hAnsi="仿宋" w:eastAsia="仿宋"/>
          <w:sz w:val="24"/>
          <w:szCs w:val="24"/>
        </w:rPr>
        <w:t>赛事流程与</w:t>
      </w:r>
      <w:r>
        <w:rPr>
          <w:rFonts w:ascii="仿宋" w:hAnsi="仿宋" w:eastAsia="仿宋"/>
          <w:sz w:val="24"/>
          <w:szCs w:val="24"/>
        </w:rPr>
        <w:t>要求</w:t>
      </w:r>
    </w:p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/>
          <w:szCs w:val="24"/>
        </w:rPr>
      </w:pPr>
      <w:r>
        <w:rPr>
          <w:rFonts w:hint="eastAsia" w:ascii="仿宋" w:hAnsi="仿宋" w:eastAsia="仿宋" w:cs="仿宋"/>
          <w:color w:val="000000"/>
          <w:szCs w:val="24"/>
        </w:rPr>
        <w:t>本次赛事</w:t>
      </w:r>
      <w:r>
        <w:rPr>
          <w:rFonts w:ascii="仿宋" w:hAnsi="仿宋" w:eastAsia="仿宋" w:cs="仿宋"/>
          <w:color w:val="000000"/>
          <w:szCs w:val="24"/>
        </w:rPr>
        <w:t>采用线上形式</w:t>
      </w:r>
      <w:r>
        <w:rPr>
          <w:rFonts w:hint="eastAsia" w:ascii="仿宋" w:hAnsi="仿宋" w:eastAsia="仿宋" w:cs="仿宋"/>
          <w:color w:val="000000"/>
          <w:szCs w:val="24"/>
        </w:rPr>
        <w:t>。</w:t>
      </w:r>
    </w:p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/>
          <w:szCs w:val="24"/>
        </w:rPr>
      </w:pPr>
      <w:r>
        <w:rPr>
          <w:rFonts w:hint="eastAsia" w:ascii="仿宋" w:hAnsi="仿宋" w:eastAsia="仿宋" w:cs="仿宋"/>
          <w:color w:val="000000"/>
          <w:szCs w:val="24"/>
        </w:rPr>
        <w:t>（一）比赛时间</w:t>
      </w:r>
    </w:p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/>
          <w:szCs w:val="24"/>
        </w:rPr>
      </w:pPr>
      <w:r>
        <w:rPr>
          <w:rFonts w:hint="eastAsia" w:ascii="仿宋" w:hAnsi="仿宋" w:eastAsia="仿宋" w:cs="仿宋"/>
          <w:color w:val="000000"/>
          <w:szCs w:val="24"/>
        </w:rPr>
        <w:t>校内赛限时线上赛：202</w:t>
      </w:r>
      <w:r>
        <w:rPr>
          <w:rFonts w:ascii="仿宋" w:hAnsi="仿宋" w:eastAsia="仿宋" w:cs="仿宋"/>
          <w:color w:val="000000"/>
          <w:szCs w:val="24"/>
        </w:rPr>
        <w:t>3</w:t>
      </w:r>
      <w:r>
        <w:rPr>
          <w:rFonts w:hint="eastAsia" w:ascii="仿宋" w:hAnsi="仿宋" w:eastAsia="仿宋" w:cs="仿宋"/>
          <w:color w:val="000000"/>
          <w:szCs w:val="24"/>
        </w:rPr>
        <w:t>年3月24日——4月26日</w:t>
      </w:r>
    </w:p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/>
          <w:szCs w:val="24"/>
        </w:rPr>
      </w:pPr>
      <w:r>
        <w:rPr>
          <w:rFonts w:hint="eastAsia" w:ascii="仿宋" w:hAnsi="仿宋" w:eastAsia="仿宋" w:cs="仿宋"/>
          <w:color w:val="000000"/>
          <w:szCs w:val="24"/>
        </w:rPr>
        <w:t>（二）比赛对象</w:t>
      </w:r>
    </w:p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/>
          <w:szCs w:val="24"/>
        </w:rPr>
      </w:pPr>
      <w:r>
        <w:rPr>
          <w:rFonts w:hint="eastAsia" w:ascii="仿宋" w:hAnsi="仿宋" w:eastAsia="仿宋" w:cs="仿宋"/>
          <w:color w:val="000000"/>
          <w:szCs w:val="24"/>
        </w:rPr>
        <w:t>安徽财经大学会计学院MPAcc学员及全日制在校本科生</w:t>
      </w:r>
    </w:p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/>
          <w:szCs w:val="24"/>
        </w:rPr>
      </w:pPr>
      <w:r>
        <w:rPr>
          <w:rFonts w:hint="eastAsia" w:ascii="仿宋" w:hAnsi="仿宋" w:eastAsia="仿宋" w:cs="仿宋"/>
          <w:color w:val="000000"/>
          <w:szCs w:val="24"/>
        </w:rPr>
        <w:t>（三）报名方式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color w:val="000000"/>
          <w:szCs w:val="24"/>
        </w:rPr>
      </w:pPr>
      <w:r>
        <w:rPr>
          <w:rFonts w:hint="eastAsia" w:ascii="仿宋" w:hAnsi="仿宋" w:eastAsia="仿宋" w:cs="仿宋"/>
          <w:color w:val="000000"/>
          <w:szCs w:val="24"/>
        </w:rPr>
        <w:t>1</w:t>
      </w:r>
      <w:r>
        <w:rPr>
          <w:rFonts w:ascii="仿宋" w:hAnsi="仿宋" w:eastAsia="仿宋" w:cs="仿宋"/>
          <w:color w:val="000000"/>
          <w:szCs w:val="24"/>
        </w:rPr>
        <w:t>.</w:t>
      </w:r>
      <w:r>
        <w:rPr>
          <w:rFonts w:hint="eastAsia" w:ascii="仿宋" w:hAnsi="仿宋" w:eastAsia="仿宋" w:cs="仿宋"/>
          <w:color w:val="000000"/>
          <w:szCs w:val="24"/>
        </w:rPr>
        <w:t>学校系统报名：登录“智慧校园—学科竞赛申报审核—安徽财经大学创新创业管理平台”；通过“报名参赛”模块填写“项目成员、指导教师”。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color w:val="000000"/>
          <w:szCs w:val="24"/>
        </w:rPr>
      </w:pPr>
      <w:r>
        <w:rPr>
          <w:rFonts w:hint="eastAsia" w:ascii="仿宋" w:hAnsi="仿宋" w:eastAsia="仿宋" w:cs="仿宋"/>
          <w:color w:val="000000"/>
          <w:szCs w:val="24"/>
        </w:rPr>
        <w:t>2</w:t>
      </w:r>
      <w:r>
        <w:rPr>
          <w:rFonts w:ascii="仿宋" w:hAnsi="仿宋" w:eastAsia="仿宋" w:cs="仿宋"/>
          <w:color w:val="000000"/>
          <w:szCs w:val="24"/>
        </w:rPr>
        <w:t>.</w:t>
      </w:r>
      <w:r>
        <w:rPr>
          <w:rFonts w:hint="eastAsia" w:ascii="仿宋" w:hAnsi="仿宋" w:eastAsia="仿宋" w:cs="仿宋"/>
          <w:color w:val="000000"/>
          <w:szCs w:val="24"/>
        </w:rPr>
        <w:t>大赛官网报名：报名参赛的同学请登录MPAcc比赛官网</w:t>
      </w:r>
      <w:r>
        <w:fldChar w:fldCharType="begin"/>
      </w:r>
      <w:r>
        <w:instrText xml:space="preserve"> HYPERLINK "http://alds.mpaccesc.ruc.edu.cn/" </w:instrText>
      </w:r>
      <w:r>
        <w:fldChar w:fldCharType="separate"/>
      </w:r>
      <w:r>
        <w:rPr>
          <w:rFonts w:hint="eastAsia"/>
          <w:color w:val="000000"/>
          <w:szCs w:val="24"/>
        </w:rPr>
        <w:t>http://alds.mpaccesc.ruc.edu.cn/</w:t>
      </w:r>
      <w:r>
        <w:rPr>
          <w:rFonts w:hint="eastAsia"/>
          <w:color w:val="000000"/>
          <w:szCs w:val="24"/>
        </w:rPr>
        <w:fldChar w:fldCharType="end"/>
      </w:r>
      <w:r>
        <w:rPr>
          <w:rFonts w:hint="eastAsia" w:ascii="仿宋" w:hAnsi="仿宋" w:eastAsia="仿宋" w:cs="仿宋"/>
          <w:color w:val="000000"/>
          <w:szCs w:val="24"/>
        </w:rPr>
        <w:t>填写报名信息。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color w:val="000000"/>
          <w:szCs w:val="24"/>
        </w:rPr>
      </w:pPr>
      <w:r>
        <w:rPr>
          <w:rFonts w:hint="eastAsia" w:ascii="仿宋" w:hAnsi="仿宋" w:eastAsia="仿宋" w:cs="仿宋"/>
          <w:color w:val="000000"/>
          <w:szCs w:val="24"/>
        </w:rPr>
        <w:t>3</w:t>
      </w:r>
      <w:r>
        <w:rPr>
          <w:rFonts w:ascii="仿宋" w:hAnsi="仿宋" w:eastAsia="仿宋" w:cs="仿宋"/>
          <w:color w:val="000000"/>
          <w:szCs w:val="24"/>
        </w:rPr>
        <w:t>.</w:t>
      </w:r>
      <w:r>
        <w:rPr>
          <w:rFonts w:hint="eastAsia" w:ascii="仿宋" w:hAnsi="仿宋" w:eastAsia="仿宋" w:cs="仿宋"/>
          <w:color w:val="000000"/>
          <w:szCs w:val="24"/>
        </w:rPr>
        <w:t>报名条件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color w:val="000000"/>
          <w:szCs w:val="24"/>
        </w:rPr>
      </w:pPr>
      <w:r>
        <w:rPr>
          <w:rFonts w:hint="eastAsia" w:ascii="仿宋" w:hAnsi="仿宋" w:eastAsia="仿宋" w:cs="仿宋"/>
          <w:color w:val="000000"/>
          <w:szCs w:val="24"/>
        </w:rPr>
        <w:t>（1）本次竞赛为团体赛，参赛选手以团队形式报名参赛，每位选手只能参加一支队伍，报名截止后队员信息不得修改。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color w:val="000000"/>
          <w:szCs w:val="24"/>
        </w:rPr>
      </w:pPr>
      <w:r>
        <w:rPr>
          <w:rFonts w:hint="eastAsia" w:ascii="仿宋" w:hAnsi="仿宋" w:eastAsia="仿宋" w:cs="仿宋"/>
          <w:color w:val="000000"/>
          <w:szCs w:val="24"/>
        </w:rPr>
        <w:t>（2）每支MPAcc研究生参赛队伍包含</w:t>
      </w:r>
      <w:r>
        <w:rPr>
          <w:rFonts w:ascii="仿宋" w:hAnsi="仿宋" w:eastAsia="仿宋" w:cs="仿宋"/>
          <w:color w:val="000000"/>
          <w:szCs w:val="24"/>
        </w:rPr>
        <w:t>5</w:t>
      </w:r>
      <w:r>
        <w:rPr>
          <w:rFonts w:hint="eastAsia" w:ascii="仿宋" w:hAnsi="仿宋" w:eastAsia="仿宋" w:cs="仿宋"/>
          <w:color w:val="000000"/>
          <w:szCs w:val="24"/>
        </w:rPr>
        <w:t>-6名队员，至少2人为在读学生，选出一位队长，进入复决赛的团队需保证有4名队员可以上场。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color w:val="000000"/>
          <w:szCs w:val="24"/>
        </w:rPr>
      </w:pPr>
      <w:r>
        <w:rPr>
          <w:rFonts w:hint="eastAsia" w:ascii="仿宋" w:hAnsi="仿宋" w:eastAsia="仿宋" w:cs="仿宋"/>
          <w:color w:val="000000"/>
          <w:szCs w:val="24"/>
        </w:rPr>
        <w:t>每支本科参赛队伍包含4名队员，</w:t>
      </w:r>
      <w:r>
        <w:rPr>
          <w:rFonts w:hint="eastAsia" w:ascii="仿宋" w:hAnsi="仿宋" w:eastAsia="仿宋" w:cs="仿宋"/>
          <w:color w:val="000000"/>
          <w:szCs w:val="24"/>
          <w:lang w:val="en-US" w:eastAsia="zh-CN"/>
        </w:rPr>
        <w:t>选出一位队长，</w:t>
      </w:r>
      <w:r>
        <w:rPr>
          <w:rFonts w:hint="eastAsia" w:ascii="仿宋" w:hAnsi="仿宋" w:eastAsia="仿宋" w:cs="仿宋"/>
          <w:color w:val="000000"/>
          <w:szCs w:val="24"/>
        </w:rPr>
        <w:t>要求大二或者大三年级会计学院学生，且具有学科竞赛的参赛经验并取得校级及以上奖项。</w:t>
      </w:r>
      <w:bookmarkStart w:id="0" w:name="_GoBack"/>
      <w:bookmarkEnd w:id="0"/>
    </w:p>
    <w:p>
      <w:pPr>
        <w:spacing w:line="360" w:lineRule="auto"/>
        <w:ind w:firstLine="480" w:firstLineChars="200"/>
        <w:rPr>
          <w:rFonts w:ascii="仿宋" w:hAnsi="仿宋" w:eastAsia="仿宋" w:cs="仿宋"/>
          <w:color w:val="000000"/>
          <w:szCs w:val="24"/>
        </w:rPr>
      </w:pPr>
      <w:r>
        <w:rPr>
          <w:rFonts w:hint="eastAsia" w:ascii="仿宋" w:hAnsi="仿宋" w:eastAsia="仿宋" w:cs="仿宋"/>
          <w:color w:val="000000"/>
          <w:szCs w:val="24"/>
        </w:rPr>
        <w:t>鼓励参赛团队邀请老师及实务界人士作指导。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color w:val="000000"/>
          <w:szCs w:val="24"/>
        </w:rPr>
      </w:pPr>
      <w:r>
        <w:rPr>
          <w:rFonts w:hint="eastAsia" w:ascii="仿宋" w:hAnsi="仿宋" w:eastAsia="仿宋" w:cs="仿宋"/>
          <w:color w:val="000000"/>
          <w:szCs w:val="24"/>
        </w:rPr>
        <w:t>（3）每支参赛队伍需同时在“学校系统报名”和“大赛官网报名”填写报名信息，且在两个系统中填写的报名信息一致，一旦发现有选手重复参加多支队伍或报名信息填写不实，将取消该队伍参赛资格。</w:t>
      </w:r>
    </w:p>
    <w:p>
      <w:pPr>
        <w:widowControl/>
        <w:snapToGrid w:val="0"/>
        <w:spacing w:line="360" w:lineRule="auto"/>
        <w:ind w:firstLine="482" w:firstLineChars="200"/>
        <w:rPr>
          <w:rFonts w:ascii="仿宋" w:hAnsi="仿宋" w:eastAsia="仿宋" w:cs="仿宋"/>
          <w:b/>
          <w:color w:val="000000"/>
          <w:szCs w:val="24"/>
        </w:rPr>
      </w:pPr>
      <w:r>
        <w:rPr>
          <w:rFonts w:hint="eastAsia" w:ascii="仿宋" w:hAnsi="仿宋" w:eastAsia="仿宋" w:cs="仿宋"/>
          <w:b/>
          <w:color w:val="000000"/>
          <w:szCs w:val="24"/>
        </w:rPr>
        <w:t>二、比赛内容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color w:val="000000"/>
          <w:szCs w:val="24"/>
        </w:rPr>
      </w:pPr>
      <w:r>
        <w:rPr>
          <w:rFonts w:hint="eastAsia" w:ascii="仿宋" w:hAnsi="仿宋" w:eastAsia="仿宋" w:cs="仿宋"/>
          <w:color w:val="000000"/>
          <w:szCs w:val="24"/>
        </w:rPr>
        <w:t>案例大赛通过组织</w:t>
      </w:r>
      <w:r>
        <w:rPr>
          <w:rFonts w:ascii="仿宋" w:hAnsi="仿宋" w:eastAsia="仿宋" w:cs="仿宋"/>
          <w:color w:val="000000"/>
          <w:szCs w:val="24"/>
        </w:rPr>
        <w:t>MPAcc</w:t>
      </w:r>
      <w:r>
        <w:rPr>
          <w:rFonts w:hint="eastAsia" w:ascii="仿宋" w:hAnsi="仿宋" w:eastAsia="仿宋" w:cs="仿宋"/>
          <w:color w:val="000000"/>
          <w:szCs w:val="24"/>
        </w:rPr>
        <w:t>学员亲历企业实践、模拟管理决策、比拼解决方案，培养并提升</w:t>
      </w:r>
      <w:r>
        <w:rPr>
          <w:rFonts w:ascii="仿宋" w:hAnsi="仿宋" w:eastAsia="仿宋" w:cs="仿宋"/>
          <w:color w:val="000000"/>
          <w:szCs w:val="24"/>
        </w:rPr>
        <w:t>MPAcc</w:t>
      </w:r>
      <w:r>
        <w:rPr>
          <w:rFonts w:hint="eastAsia" w:ascii="仿宋" w:hAnsi="仿宋" w:eastAsia="仿宋" w:cs="仿宋"/>
          <w:color w:val="000000"/>
          <w:szCs w:val="24"/>
        </w:rPr>
        <w:t>学员发现、分析、解决企业实际问题的能力，促进不同培养单位间</w:t>
      </w:r>
      <w:r>
        <w:rPr>
          <w:rFonts w:ascii="仿宋" w:hAnsi="仿宋" w:eastAsia="仿宋" w:cs="仿宋"/>
          <w:color w:val="000000"/>
          <w:szCs w:val="24"/>
        </w:rPr>
        <w:t>MPAcc</w:t>
      </w:r>
      <w:r>
        <w:rPr>
          <w:rFonts w:hint="eastAsia" w:ascii="仿宋" w:hAnsi="仿宋" w:eastAsia="仿宋" w:cs="仿宋"/>
          <w:color w:val="000000"/>
          <w:szCs w:val="24"/>
        </w:rPr>
        <w:t>学员的交流与沟通。参赛队伍以官方网站公布的第一阶段案例为对象，进行分析、研究，并提出解决方案。</w:t>
      </w:r>
    </w:p>
    <w:p>
      <w:pPr>
        <w:pStyle w:val="6"/>
        <w:widowControl/>
        <w:shd w:val="clear" w:color="auto" w:fill="FFFFFF"/>
        <w:spacing w:beforeAutospacing="0" w:after="120" w:afterAutospacing="0" w:line="360" w:lineRule="auto"/>
        <w:ind w:firstLine="386"/>
        <w:rPr>
          <w:rFonts w:ascii="仿宋" w:hAnsi="仿宋" w:eastAsia="仿宋" w:cs="仿宋"/>
          <w:color w:val="000000"/>
          <w:kern w:val="2"/>
          <w:szCs w:val="24"/>
        </w:rPr>
      </w:pPr>
      <w:r>
        <w:rPr>
          <w:rFonts w:hint="eastAsia" w:ascii="仿宋" w:hAnsi="仿宋" w:eastAsia="仿宋" w:cs="仿宋"/>
          <w:color w:val="000000"/>
          <w:kern w:val="2"/>
          <w:szCs w:val="24"/>
        </w:rPr>
        <w:t>提交报告格式：上传</w:t>
      </w:r>
      <w:r>
        <w:rPr>
          <w:rFonts w:ascii="仿宋" w:hAnsi="仿宋" w:eastAsia="仿宋" w:cs="仿宋"/>
          <w:color w:val="000000"/>
          <w:kern w:val="2"/>
          <w:szCs w:val="24"/>
        </w:rPr>
        <w:t>PDF</w:t>
      </w:r>
      <w:r>
        <w:rPr>
          <w:rFonts w:hint="eastAsia" w:ascii="仿宋" w:hAnsi="仿宋" w:eastAsia="仿宋" w:cs="仿宋"/>
          <w:color w:val="000000"/>
          <w:kern w:val="2"/>
          <w:szCs w:val="24"/>
        </w:rPr>
        <w:t>文件。要求：纸型为</w:t>
      </w:r>
      <w:r>
        <w:rPr>
          <w:rFonts w:ascii="仿宋" w:hAnsi="仿宋" w:eastAsia="仿宋" w:cs="仿宋"/>
          <w:color w:val="000000"/>
          <w:kern w:val="2"/>
          <w:szCs w:val="24"/>
        </w:rPr>
        <w:t>A4</w:t>
      </w:r>
      <w:r>
        <w:rPr>
          <w:rFonts w:hint="eastAsia" w:ascii="仿宋" w:hAnsi="仿宋" w:eastAsia="仿宋" w:cs="仿宋"/>
          <w:color w:val="000000"/>
          <w:kern w:val="2"/>
          <w:szCs w:val="24"/>
        </w:rPr>
        <w:t>（</w:t>
      </w:r>
      <w:r>
        <w:rPr>
          <w:rFonts w:ascii="仿宋" w:hAnsi="仿宋" w:eastAsia="仿宋" w:cs="仿宋"/>
          <w:color w:val="000000"/>
          <w:kern w:val="2"/>
          <w:szCs w:val="24"/>
        </w:rPr>
        <w:t>21.0cm</w:t>
      </w:r>
      <w:r>
        <w:rPr>
          <w:rFonts w:hint="eastAsia" w:ascii="仿宋" w:hAnsi="仿宋" w:eastAsia="仿宋" w:cs="仿宋"/>
          <w:color w:val="000000"/>
          <w:kern w:val="2"/>
          <w:szCs w:val="24"/>
        </w:rPr>
        <w:t>×</w:t>
      </w:r>
      <w:r>
        <w:rPr>
          <w:rFonts w:ascii="仿宋" w:hAnsi="仿宋" w:eastAsia="仿宋" w:cs="仿宋"/>
          <w:color w:val="000000"/>
          <w:kern w:val="2"/>
          <w:szCs w:val="24"/>
        </w:rPr>
        <w:t>29.7cm</w:t>
      </w:r>
      <w:r>
        <w:rPr>
          <w:rFonts w:hint="eastAsia" w:ascii="仿宋" w:hAnsi="仿宋" w:eastAsia="仿宋" w:cs="仿宋"/>
          <w:color w:val="000000"/>
          <w:kern w:val="2"/>
          <w:szCs w:val="24"/>
        </w:rPr>
        <w:t>）标准，总页数（含封面、附录等）不得超过</w:t>
      </w:r>
      <w:r>
        <w:rPr>
          <w:rFonts w:ascii="仿宋" w:hAnsi="仿宋" w:eastAsia="仿宋" w:cs="仿宋"/>
          <w:color w:val="000000"/>
          <w:kern w:val="2"/>
          <w:szCs w:val="24"/>
        </w:rPr>
        <w:t>20</w:t>
      </w:r>
      <w:r>
        <w:rPr>
          <w:rFonts w:hint="eastAsia" w:ascii="仿宋" w:hAnsi="仿宋" w:eastAsia="仿宋" w:cs="仿宋"/>
          <w:color w:val="000000"/>
          <w:kern w:val="2"/>
          <w:szCs w:val="24"/>
        </w:rPr>
        <w:t>页。正文采用小四号字，</w:t>
      </w:r>
      <w:r>
        <w:rPr>
          <w:rFonts w:ascii="仿宋" w:hAnsi="仿宋" w:eastAsia="仿宋" w:cs="仿宋"/>
          <w:color w:val="000000"/>
          <w:kern w:val="2"/>
          <w:szCs w:val="24"/>
        </w:rPr>
        <w:t>1.5</w:t>
      </w:r>
      <w:r>
        <w:rPr>
          <w:rFonts w:hint="eastAsia" w:ascii="仿宋" w:hAnsi="仿宋" w:eastAsia="仿宋" w:cs="仿宋"/>
          <w:color w:val="000000"/>
          <w:kern w:val="2"/>
          <w:szCs w:val="24"/>
        </w:rPr>
        <w:t>倍行距，中文采用宋体，英文和数字采用</w:t>
      </w:r>
      <w:r>
        <w:rPr>
          <w:rFonts w:ascii="仿宋" w:hAnsi="仿宋" w:eastAsia="仿宋" w:cs="仿宋"/>
          <w:color w:val="000000"/>
          <w:kern w:val="2"/>
          <w:szCs w:val="24"/>
        </w:rPr>
        <w:t>Times</w:t>
      </w:r>
      <w:r>
        <w:rPr>
          <w:rFonts w:hint="eastAsia" w:ascii="仿宋" w:hAnsi="仿宋" w:eastAsia="仿宋" w:cs="仿宋"/>
          <w:color w:val="000000"/>
          <w:kern w:val="2"/>
          <w:szCs w:val="24"/>
        </w:rPr>
        <w:t> </w:t>
      </w:r>
      <w:r>
        <w:rPr>
          <w:rFonts w:ascii="仿宋" w:hAnsi="仿宋" w:eastAsia="仿宋" w:cs="仿宋"/>
          <w:color w:val="000000"/>
          <w:kern w:val="2"/>
          <w:szCs w:val="24"/>
        </w:rPr>
        <w:t>New</w:t>
      </w:r>
      <w:r>
        <w:rPr>
          <w:rFonts w:hint="eastAsia" w:ascii="仿宋" w:hAnsi="仿宋" w:eastAsia="仿宋" w:cs="仿宋"/>
          <w:color w:val="000000"/>
          <w:kern w:val="2"/>
          <w:szCs w:val="24"/>
        </w:rPr>
        <w:t> </w:t>
      </w:r>
      <w:r>
        <w:rPr>
          <w:rFonts w:ascii="仿宋" w:hAnsi="仿宋" w:eastAsia="仿宋" w:cs="仿宋"/>
          <w:color w:val="000000"/>
          <w:kern w:val="2"/>
          <w:szCs w:val="24"/>
        </w:rPr>
        <w:t>Roman</w:t>
      </w:r>
      <w:r>
        <w:rPr>
          <w:rFonts w:hint="eastAsia" w:ascii="仿宋" w:hAnsi="仿宋" w:eastAsia="仿宋" w:cs="仿宋"/>
          <w:color w:val="000000"/>
          <w:kern w:val="2"/>
          <w:szCs w:val="24"/>
        </w:rPr>
        <w:t>字体，封面、目录、标题、图表不受字体字号和行距的限制。若不符合上述格式要求，可能影响评审成绩，后果由参赛团队自行承担。</w:t>
      </w:r>
    </w:p>
    <w:p>
      <w:pPr>
        <w:widowControl/>
        <w:snapToGrid w:val="0"/>
        <w:spacing w:line="360" w:lineRule="auto"/>
        <w:ind w:firstLine="482" w:firstLineChars="200"/>
        <w:rPr>
          <w:rFonts w:ascii="仿宋" w:hAnsi="仿宋" w:eastAsia="仿宋" w:cs="仿宋"/>
          <w:b/>
          <w:color w:val="000000"/>
          <w:szCs w:val="24"/>
        </w:rPr>
      </w:pPr>
      <w:r>
        <w:rPr>
          <w:rFonts w:hint="eastAsia" w:ascii="仿宋" w:hAnsi="仿宋" w:eastAsia="仿宋" w:cs="仿宋"/>
          <w:b/>
          <w:color w:val="000000"/>
          <w:szCs w:val="24"/>
        </w:rPr>
        <w:t>三、评分标准</w:t>
      </w:r>
    </w:p>
    <w:p>
      <w:pPr>
        <w:widowControl/>
        <w:snapToGrid w:val="0"/>
        <w:spacing w:line="360" w:lineRule="auto"/>
        <w:ind w:firstLine="480" w:firstLineChars="200"/>
        <w:rPr>
          <w:rFonts w:hAnsi="仿宋" w:eastAsia="仿宋" w:cs="仿宋"/>
          <w:color w:val="000000"/>
          <w:szCs w:val="24"/>
        </w:rPr>
      </w:pPr>
      <w:r>
        <w:rPr>
          <w:rFonts w:hint="eastAsia" w:hAnsi="仿宋" w:eastAsia="仿宋" w:cs="仿宋"/>
          <w:color w:val="000000"/>
          <w:szCs w:val="24"/>
        </w:rPr>
        <w:t>比赛成绩满分为100分。每个参赛案例由多名专业评委进行评分。</w:t>
      </w:r>
    </w:p>
    <w:p>
      <w:pPr>
        <w:widowControl/>
        <w:snapToGrid w:val="0"/>
        <w:spacing w:line="360" w:lineRule="auto"/>
        <w:ind w:firstLine="482" w:firstLineChars="200"/>
        <w:rPr>
          <w:rFonts w:ascii="仿宋" w:hAnsi="仿宋" w:eastAsia="仿宋" w:cs="仿宋"/>
          <w:b/>
          <w:color w:val="000000"/>
          <w:szCs w:val="24"/>
        </w:rPr>
      </w:pPr>
      <w:r>
        <w:rPr>
          <w:rFonts w:hint="eastAsia" w:ascii="仿宋" w:hAnsi="仿宋" w:eastAsia="仿宋" w:cs="仿宋"/>
          <w:b/>
          <w:color w:val="000000"/>
          <w:szCs w:val="24"/>
        </w:rPr>
        <w:t>四、奖项设置</w:t>
      </w:r>
    </w:p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（一）校内赛选拔出一等奖、二等奖、三等奖和优胜奖。根据参赛学生队伍规模确定各等级奖项名额，原则上：一等奖不超过参赛总队数的5%，二等奖不超过参赛总队数的15%，三等奖不超过参赛总队数的30%，优胜奖不超过参赛总队数的40%。</w:t>
      </w:r>
    </w:p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b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（二）根据校内赛研究生组前八名、本科组前两名确定区域赛名单。</w:t>
      </w:r>
    </w:p>
    <w:p>
      <w:pPr>
        <w:widowControl/>
        <w:snapToGrid w:val="0"/>
        <w:spacing w:line="360" w:lineRule="auto"/>
        <w:ind w:firstLine="482" w:firstLineChars="200"/>
        <w:rPr>
          <w:rFonts w:ascii="仿宋" w:hAnsi="仿宋" w:eastAsia="仿宋" w:cs="仿宋"/>
          <w:color w:val="000000"/>
          <w:szCs w:val="24"/>
        </w:rPr>
      </w:pPr>
      <w:r>
        <w:rPr>
          <w:rFonts w:hint="eastAsia" w:ascii="仿宋" w:hAnsi="仿宋" w:eastAsia="仿宋"/>
          <w:b/>
          <w:szCs w:val="24"/>
        </w:rPr>
        <w:t>五</w:t>
      </w:r>
      <w:r>
        <w:rPr>
          <w:rFonts w:ascii="仿宋" w:hAnsi="仿宋" w:eastAsia="仿宋"/>
          <w:b/>
          <w:szCs w:val="24"/>
        </w:rPr>
        <w:t>、</w:t>
      </w:r>
      <w:r>
        <w:rPr>
          <w:rFonts w:hint="eastAsia" w:ascii="仿宋" w:hAnsi="仿宋" w:eastAsia="仿宋"/>
          <w:b/>
          <w:szCs w:val="24"/>
        </w:rPr>
        <w:t>赛事相关部门及负责人</w:t>
      </w:r>
    </w:p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/>
          <w:szCs w:val="24"/>
        </w:rPr>
      </w:pPr>
      <w:r>
        <w:rPr>
          <w:rFonts w:hint="eastAsia" w:ascii="仿宋" w:hAnsi="仿宋" w:eastAsia="仿宋" w:cs="仿宋"/>
          <w:color w:val="000000"/>
          <w:szCs w:val="24"/>
        </w:rPr>
        <w:t>（一）主办单位</w:t>
      </w:r>
    </w:p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安徽财经大学教务处</w:t>
      </w:r>
    </w:p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/>
          <w:szCs w:val="24"/>
        </w:rPr>
      </w:pPr>
      <w:r>
        <w:rPr>
          <w:rFonts w:hint="eastAsia" w:ascii="仿宋" w:hAnsi="仿宋" w:eastAsia="仿宋" w:cs="仿宋"/>
          <w:color w:val="000000"/>
          <w:szCs w:val="24"/>
        </w:rPr>
        <w:t>（二）承办单位</w:t>
      </w:r>
    </w:p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/>
          <w:szCs w:val="24"/>
        </w:rPr>
      </w:pPr>
      <w:r>
        <w:rPr>
          <w:rFonts w:hint="eastAsia" w:ascii="仿宋" w:hAnsi="仿宋" w:eastAsia="仿宋" w:cs="仿宋"/>
          <w:color w:val="000000"/>
          <w:szCs w:val="24"/>
        </w:rPr>
        <w:t>安徽财经大学会计学院</w:t>
      </w:r>
    </w:p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/>
          <w:szCs w:val="24"/>
        </w:rPr>
      </w:pPr>
      <w:r>
        <w:rPr>
          <w:rFonts w:hint="eastAsia" w:ascii="仿宋" w:hAnsi="仿宋" w:eastAsia="仿宋" w:cs="仿宋"/>
          <w:color w:val="000000"/>
          <w:szCs w:val="24"/>
        </w:rPr>
        <w:t>安徽财经大学会计学会</w:t>
      </w:r>
    </w:p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/>
          <w:szCs w:val="24"/>
        </w:rPr>
      </w:pPr>
      <w:r>
        <w:rPr>
          <w:rFonts w:hint="eastAsia" w:ascii="仿宋" w:hAnsi="仿宋" w:eastAsia="仿宋" w:cs="仿宋"/>
          <w:color w:val="000000"/>
          <w:szCs w:val="24"/>
        </w:rPr>
        <w:t>项目总负责人：张莹</w:t>
      </w:r>
    </w:p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/>
          <w:szCs w:val="24"/>
        </w:rPr>
      </w:pPr>
      <w:r>
        <w:rPr>
          <w:rFonts w:hint="eastAsia" w:ascii="仿宋" w:hAnsi="仿宋" w:eastAsia="仿宋" w:cs="仿宋"/>
          <w:color w:val="000000"/>
          <w:szCs w:val="24"/>
        </w:rPr>
        <w:t>项目具体负责老师：鲍群13855233615，李坤榕13955258153</w:t>
      </w:r>
    </w:p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/>
          <w:szCs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宋体..昀瀕.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lYzU2NDZlZWRhZGY1YzdjNGExMDUwNGJjODllMjkifQ=="/>
  </w:docVars>
  <w:rsids>
    <w:rsidRoot w:val="00883C08"/>
    <w:rsid w:val="001036A8"/>
    <w:rsid w:val="00265F44"/>
    <w:rsid w:val="00294F96"/>
    <w:rsid w:val="002F04EC"/>
    <w:rsid w:val="003020A7"/>
    <w:rsid w:val="00304333"/>
    <w:rsid w:val="003B1934"/>
    <w:rsid w:val="00414C64"/>
    <w:rsid w:val="0044738F"/>
    <w:rsid w:val="00464C0E"/>
    <w:rsid w:val="004924BD"/>
    <w:rsid w:val="004973CB"/>
    <w:rsid w:val="004D053B"/>
    <w:rsid w:val="00547EC4"/>
    <w:rsid w:val="005F55A6"/>
    <w:rsid w:val="0061741E"/>
    <w:rsid w:val="007814D1"/>
    <w:rsid w:val="00792F83"/>
    <w:rsid w:val="00805393"/>
    <w:rsid w:val="00833A9B"/>
    <w:rsid w:val="00883C08"/>
    <w:rsid w:val="0096064A"/>
    <w:rsid w:val="00971303"/>
    <w:rsid w:val="009919F2"/>
    <w:rsid w:val="00A40909"/>
    <w:rsid w:val="00A65010"/>
    <w:rsid w:val="00A73914"/>
    <w:rsid w:val="00A777AE"/>
    <w:rsid w:val="00AE08EB"/>
    <w:rsid w:val="00B055D1"/>
    <w:rsid w:val="00B817D7"/>
    <w:rsid w:val="00C77DF3"/>
    <w:rsid w:val="00CD2729"/>
    <w:rsid w:val="00E41352"/>
    <w:rsid w:val="00E73423"/>
    <w:rsid w:val="00EA29D1"/>
    <w:rsid w:val="00F623FE"/>
    <w:rsid w:val="04C17FFC"/>
    <w:rsid w:val="0E5650C0"/>
    <w:rsid w:val="13AE3DC6"/>
    <w:rsid w:val="2D90540D"/>
    <w:rsid w:val="33703AFD"/>
    <w:rsid w:val="4DC52174"/>
    <w:rsid w:val="5C53660A"/>
    <w:rsid w:val="6B5D6BE0"/>
    <w:rsid w:val="72DE51E7"/>
    <w:rsid w:val="7C3A5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4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17"/>
    </w:pPr>
    <w:rPr>
      <w:rFonts w:ascii="仿宋" w:hAnsi="仿宋" w:eastAsia="仿宋" w:cs="仿宋"/>
      <w:sz w:val="28"/>
      <w:szCs w:val="28"/>
      <w:lang w:val="zh-CN" w:bidi="zh-CN"/>
    </w:rPr>
  </w:style>
  <w:style w:type="paragraph" w:styleId="3">
    <w:name w:val="Balloon Text"/>
    <w:basedOn w:val="1"/>
    <w:link w:val="16"/>
    <w:uiPriority w:val="99"/>
    <w:rPr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</w:rPr>
  </w:style>
  <w:style w:type="paragraph" w:styleId="7">
    <w:name w:val="Title"/>
    <w:basedOn w:val="1"/>
    <w:link w:val="14"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kern w:val="0"/>
      <w:sz w:val="32"/>
      <w:szCs w:val="32"/>
    </w:r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Hyperlink"/>
    <w:basedOn w:val="9"/>
    <w:qFormat/>
    <w:uiPriority w:val="99"/>
    <w:rPr>
      <w:color w:val="0000FF"/>
      <w:u w:val="single"/>
    </w:rPr>
  </w:style>
  <w:style w:type="character" w:customStyle="1" w:styleId="12">
    <w:name w:val="页眉 字符"/>
    <w:basedOn w:val="9"/>
    <w:link w:val="5"/>
    <w:uiPriority w:val="99"/>
    <w:rPr>
      <w:sz w:val="18"/>
      <w:szCs w:val="18"/>
    </w:rPr>
  </w:style>
  <w:style w:type="character" w:customStyle="1" w:styleId="13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4">
    <w:name w:val="标题 字符"/>
    <w:basedOn w:val="9"/>
    <w:link w:val="7"/>
    <w:qFormat/>
    <w:uiPriority w:val="0"/>
    <w:rPr>
      <w:rFonts w:ascii="Cambria" w:hAnsi="Cambria" w:eastAsia="宋体" w:cs="Times New Roman"/>
      <w:b/>
      <w:kern w:val="0"/>
      <w:sz w:val="32"/>
      <w:szCs w:val="32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..昀瀕.." w:hAnsi="Calibri" w:eastAsia="宋体..昀瀕.." w:cs="宋体..昀瀕.."/>
      <w:color w:val="000000"/>
      <w:sz w:val="24"/>
      <w:szCs w:val="24"/>
      <w:lang w:val="en-US" w:eastAsia="zh-CN" w:bidi="ar-SA"/>
    </w:rPr>
  </w:style>
  <w:style w:type="character" w:customStyle="1" w:styleId="16">
    <w:name w:val="批注框文本 字符"/>
    <w:basedOn w:val="9"/>
    <w:link w:val="3"/>
    <w:qFormat/>
    <w:uiPriority w:val="99"/>
    <w:rPr>
      <w:kern w:val="2"/>
      <w:sz w:val="18"/>
      <w:szCs w:val="18"/>
    </w:rPr>
  </w:style>
  <w:style w:type="paragraph" w:styleId="17">
    <w:name w:val="List Paragraph"/>
    <w:basedOn w:val="1"/>
    <w:qFormat/>
    <w:uiPriority w:val="1"/>
    <w:pPr>
      <w:ind w:left="117" w:right="468" w:firstLine="475"/>
    </w:pPr>
    <w:rPr>
      <w:rFonts w:ascii="仿宋" w:hAnsi="仿宋" w:eastAsia="仿宋" w:cs="仿宋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178</Words>
  <Characters>1016</Characters>
  <Lines>8</Lines>
  <Paragraphs>2</Paragraphs>
  <TotalTime>31</TotalTime>
  <ScaleCrop>false</ScaleCrop>
  <LinksUpToDate>false</LinksUpToDate>
  <CharactersWithSpaces>1192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2020-09-12T14:50:00Z</dcterms:created>
  <dc:creator>赵燕</dc:creator>
  <cp:lastModifiedBy>流水行云</cp:lastModifiedBy>
  <dcterms:modified xsi:type="dcterms:W3CDTF">2023-03-17T07:01:46Z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90B1B88B36BC49CC8DBBFC52C82E47D7</vt:lpwstr>
  </property>
</Properties>
</file>