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</w:p>
    <w:p>
      <w:pPr>
        <w:widowControl/>
        <w:snapToGrid w:val="0"/>
        <w:spacing w:line="288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ascii="仿宋" w:hAnsi="仿宋" w:eastAsia="仿宋" w:cs="仿宋"/>
          <w:sz w:val="28"/>
          <w:szCs w:val="28"/>
        </w:rPr>
        <w:t>事指南</w:t>
      </w:r>
    </w:p>
    <w:p>
      <w:pPr>
        <w:pStyle w:val="4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整个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赛事分为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初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赛、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复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两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个阶段。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初赛阶段：2020年11月13日 - 2020年11月31日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网上报名-赛前培训-参赛-网上提交作品-初评-公布入围名单。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决赛阶段：2020年12月1日 - 2020年12月20日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网上提交论文-现场答辩-现场公布大赛结果并颁奖。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本次大赛分为初赛和决赛两个部分。初赛为金融建模大赛，主要是利用希施玛数字经济建模与分析平台（简称DEMA），该软件可以使用R、Python、Octave/Matlab三种语言的基本操作。参赛者使用大赛账号即可登陆DEMA软件，参赛者在DEMA上获取赛题及数据链接，在本地调试算法，通过赛题提交入口提交结果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决赛采用线下PPT演讲和答辩的形式。进入决赛的队伍对模型逻辑进行阐述思路，现场讲解和答辩。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进入决赛的队伍各派出1名代表，各队代表选手对大赛期间的建模策略进行展示，回答评委提问，评委根据综合表现给出分数，并结合初赛成绩最终排名。综合考察学生金融建模能力、知识掌握和运用能力、表达能力、演讲能力、思维能力等综合素质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主题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本次大赛的参赛主题是“金融建模”，凡与金融建模相关的研究报告均可参赛。作品需提交基于DEMA量化投资平台的报告一份。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参赛者可选择以下参赛题目中的任意一个：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1.股票资产组合的有效边界的确定与投资组合优化；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2.期权隐含波动率与实际波动率的关系；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3.固定收益证券的定价；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4.上市公司估值，建立企业估值评价体系；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5.企业重大事件（项目）的风险与收益测算：如，企业并购重组、融资项目、极端危机事件等；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6.上市公司会计信息质量评估；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7.行业投资价值分析及投资逻辑；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8.经典主流因子在A股市场的检验；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9.投资者情绪与股票的收益；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10.重大公共卫生事件下的金融市场风险测度建模；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11.股票市场量化对冲策略；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12.基于金融衍生品的套利策略。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5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23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0"/>
                <w:szCs w:val="21"/>
              </w:rPr>
              <w:t>项目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0"/>
                <w:szCs w:val="21"/>
              </w:rPr>
              <w:t>作品评分要点（论文：70分+程序：30分=100分）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论文摘要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总分20分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参赛作品的摘要部分是对论文研究的背景、内容、方法、结论及意义的一个概括，反映出研究者认识问题解决问题及文字表达的能力。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表达清晰，层次鲜明，模型理论及推导充分严谨，研究结果具有重要的理论意义和现实意义。（16-20分）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表达清晰，层次鲜明，模型理论及推导充分严谨，研究结果具有一定的理论意义和现实意义。（10-14分）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表达欠清晰，模型理论及推导较为充分，能给出一定的研究结果。（0-9）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论文能力水平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总分25分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模型设计思路清晰，建模实施方案完整。投资策略设计应至少包含投资目标、风险控制、资产配置、绩效评估等投资策略设计的基本内容，体现出金融投资策略的基本要求。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选题背景表达充分、合理，模型的选择有理有据，模型介绍（背景、假设、公式、意义）详细且可读性强和易于理解。内容介绍清晰及层次鲜明，分析步骤安排合理，可读性强，易于理解。结论表达清晰，依据充分，具有积极的理论意义及实践指导意义。（20-25分）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选题背景表达较为充分、合理，模型的选择有理有据，模型介绍（背景、假设、公式、意义）详细且可读性强。内容介绍清晰，分析步骤安排较为合理，可读性强。结论表达清晰，依据充分，具有一定的理论意义及实践指导意义。（10-19分）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选题背景表达不够充分，模型的选择依据欠缺，模型介绍（背景、假设、公式、意义）可读性不强。内容介绍不够清晰，分析步骤安排不够合理且可读性不强。结论表达及依据说明一般。（0-9分）。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论文成果质量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总分25分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模型理论依据及推导充分，假设合理，模型选取的指标定义明确、公式清晰、意义明确，如果是统计类的模型，模型及指标的选取需要做假设检验。实验数据准确充分，事实求是，并明确标注数据来源与所使用的分析工具；能够充分利用丰富的绘图形象地表达，实现图文并茂。文本、绘图、表格、插图、引注等格式规范正确。（20-25）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模型理论依据及推导较为充分，假设合理，模型选取的指标定义明确、公式清晰，如果是统计类的模型，模型及指标的选取需要做假设检验。实验数据准确充分，事实求是，并明确标注数据来源与所使用的分析工具。文本、绘图、表格、插图、引注等格式较为规范。（10-19分）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模型理论依据及推导较为充分，模型选取的指标定义及公式较明确。实验数据准确充分，事实求是，并明确标注数据来源与所使用的分析工具。格式较为混乱。（0-9分）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程序文件质量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总分30分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编程规范，结构合理，注释清晰，程序简洁，可读性强，并且能够正确运行。（25-30分）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编程规范，结构合理，但注释不够清晰，程序运用了大量的For循环，可读性较好，并且能够正确运行。（15-24）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编程规范，但注释不够清晰，程序运用了大量的For循环，可读性较差，同时程序还存在一定的错误。（0-14）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总分（100分）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pStyle w:val="4"/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根据一等奖团队获奖队伍确定参加全国量化投资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赛名单。</w:t>
      </w:r>
    </w:p>
    <w:p>
      <w:pPr>
        <w:pStyle w:val="4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  <w:bookmarkStart w:id="0" w:name="_GoBack"/>
      <w:bookmarkEnd w:id="0"/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金融学院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深圳希施玛数据科技有限公司（协办）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（三）联系方式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：15755884668 钱令涛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18655220578 王老师 18326978202 马老师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大赛QQ交流群：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780073342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0C9"/>
    <w:multiLevelType w:val="multilevel"/>
    <w:tmpl w:val="1DCF50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B336B"/>
    <w:multiLevelType w:val="multilevel"/>
    <w:tmpl w:val="52FB336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7718F1"/>
    <w:multiLevelType w:val="multilevel"/>
    <w:tmpl w:val="677718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6E09B2"/>
    <w:multiLevelType w:val="multilevel"/>
    <w:tmpl w:val="776E09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972F1F"/>
    <w:rsid w:val="00981F07"/>
    <w:rsid w:val="00A87B4F"/>
    <w:rsid w:val="00AC4143"/>
    <w:rsid w:val="00AE6121"/>
    <w:rsid w:val="00B307A9"/>
    <w:rsid w:val="00BB7A93"/>
    <w:rsid w:val="00C62AE6"/>
    <w:rsid w:val="00C82CDF"/>
    <w:rsid w:val="00CB2420"/>
    <w:rsid w:val="00E37A57"/>
    <w:rsid w:val="03BD3953"/>
    <w:rsid w:val="1E4001E8"/>
    <w:rsid w:val="261870B1"/>
    <w:rsid w:val="40413C20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266</Words>
  <Characters>1521</Characters>
  <Lines>12</Lines>
  <Paragraphs>3</Paragraphs>
  <TotalTime>0</TotalTime>
  <ScaleCrop>false</ScaleCrop>
  <LinksUpToDate>false</LinksUpToDate>
  <CharactersWithSpaces>1784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Administrator</cp:lastModifiedBy>
  <dcterms:modified xsi:type="dcterms:W3CDTF">2020-10-19T08:28:40Z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