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12" w:beforeLines="100" w:after="312" w:afterLines="100" w:line="360" w:lineRule="auto"/>
        <w:jc w:val="center"/>
        <w:rPr>
          <w:rFonts w:ascii="宋体" w:hAnsi="宋体" w:eastAsia="宋体" w:cs="Helvetic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6"/>
        </w:rPr>
        <w:t>2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6"/>
        </w:rPr>
        <w:t>024年第七届全国高校经济决策虚仿实验大赛校园赛</w:t>
      </w:r>
      <w:r>
        <w:rPr>
          <w:rFonts w:hint="eastAsia" w:ascii="宋体" w:hAnsi="宋体" w:eastAsia="宋体" w:cs="Helvetica"/>
          <w:b/>
          <w:bCs/>
          <w:color w:val="333333"/>
          <w:kern w:val="0"/>
          <w:sz w:val="32"/>
          <w:szCs w:val="24"/>
        </w:rPr>
        <w:t>赛事细则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rPr>
          <w:rFonts w:ascii="宋体" w:hAnsi="宋体" w:eastAsia="宋体" w:cs="Helvetic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color w:val="333333"/>
          <w:kern w:val="0"/>
          <w:sz w:val="24"/>
          <w:szCs w:val="24"/>
        </w:rPr>
        <w:t>一、竞赛内容与规则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竞赛使用成都杰科力科技有限公司的《经济学综合仿真实训平台》进行，由微观和宏观两部分竞赛内容组成，参赛团队通过网络实验平台，在虚拟国家背景下，模拟企业、政府等角色进行经济决策：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1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.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微观经济理性决策。竞赛使用《经济学综合仿真实训平台》软件中厂商竞赛模块。业务操作包括现金管理模块、原料与要素供给、市场需求竞标、生产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/交付/技改、政府监管等决策，采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取分组单机方式竞赛，通过比较各组最终权益高低由软件自动评分。</w:t>
      </w:r>
    </w:p>
    <w:p>
      <w:pPr>
        <w:tabs>
          <w:tab w:val="left" w:pos="840"/>
        </w:tabs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（1）供给需求理论、要素理论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53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tblHeader/>
          <w:jc w:val="center"/>
        </w:trPr>
        <w:tc>
          <w:tcPr>
            <w:tcW w:w="1275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竞赛模块</w:t>
            </w:r>
          </w:p>
        </w:tc>
        <w:tc>
          <w:tcPr>
            <w:tcW w:w="4536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竞赛环节</w:t>
            </w:r>
          </w:p>
        </w:tc>
        <w:tc>
          <w:tcPr>
            <w:tcW w:w="1779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涉及知识点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竞赛准备</w:t>
            </w: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熟悉要素市场的价格决定理论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供给、需求与均衡价格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弹性及其应用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供求关系的静态和动态应用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熟悉产品市场的定价理论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熟悉供给需求基本规律与弹性理论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比赛流程</w:t>
            </w: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汽车公司进行土地与生产线投资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家电公司进行订单竞标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汽车公司和家电公司与钢铁公司开展业务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汽车和家电公司开始生产经营活动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tabs>
          <w:tab w:val="left" w:pos="84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（2）市场结构与厂商理论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4536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1177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竞赛模块</w:t>
            </w:r>
          </w:p>
        </w:tc>
        <w:tc>
          <w:tcPr>
            <w:tcW w:w="4536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竞赛环节</w:t>
            </w:r>
          </w:p>
        </w:tc>
        <w:tc>
          <w:tcPr>
            <w:tcW w:w="1810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涉及知识点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竞赛准备</w:t>
            </w: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制定产品市场交易和竞标规则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生产理论</w:t>
            </w:r>
          </w:p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成本理论</w:t>
            </w:r>
          </w:p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市场结构理论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熟悉四种市场结构的典型特征</w:t>
            </w:r>
          </w:p>
        </w:tc>
        <w:tc>
          <w:tcPr>
            <w:tcW w:w="18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熟悉生产函数与不同的成本曲线</w:t>
            </w:r>
          </w:p>
        </w:tc>
        <w:tc>
          <w:tcPr>
            <w:tcW w:w="18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熟悉不同市场结构下的均衡</w:t>
            </w:r>
          </w:p>
        </w:tc>
        <w:tc>
          <w:tcPr>
            <w:tcW w:w="18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比赛流程</w:t>
            </w: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对汽车、家电、钢铁市场竞争结构进行分析</w:t>
            </w:r>
          </w:p>
        </w:tc>
        <w:tc>
          <w:tcPr>
            <w:tcW w:w="18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汽车和家电公司在不同竞争市场下投标经营</w:t>
            </w:r>
          </w:p>
        </w:tc>
        <w:tc>
          <w:tcPr>
            <w:tcW w:w="18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汽车和家电公司根据宏观经济趋势判断风险</w:t>
            </w:r>
          </w:p>
        </w:tc>
        <w:tc>
          <w:tcPr>
            <w:tcW w:w="18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各类厂商生产函数与最优生产决策分析</w:t>
            </w:r>
          </w:p>
        </w:tc>
        <w:tc>
          <w:tcPr>
            <w:tcW w:w="18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模拟游戏中的竞争均衡分析</w:t>
            </w:r>
          </w:p>
        </w:tc>
        <w:tc>
          <w:tcPr>
            <w:tcW w:w="181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tabs>
          <w:tab w:val="left" w:pos="84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（3）市场失灵与福利经济学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536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1214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竞赛模块</w:t>
            </w:r>
          </w:p>
        </w:tc>
        <w:tc>
          <w:tcPr>
            <w:tcW w:w="4536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竞赛环节</w:t>
            </w:r>
          </w:p>
        </w:tc>
        <w:tc>
          <w:tcPr>
            <w:tcW w:w="1847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涉及知识点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竞赛准备</w:t>
            </w: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制定政府监管部门的主要职责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博弈论</w:t>
            </w:r>
          </w:p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福利经济学</w:t>
            </w:r>
          </w:p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帕累托最优</w:t>
            </w:r>
          </w:p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市场失灵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熟悉市场失灵的具体表现形式 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熟悉生产、交换的帕累托最优条件与状态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熟悉不同博弈与策略行为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比赛流程</w:t>
            </w: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实施对资本市场业务的监管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实施对产品市场（汽车、家电）的监管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汽车、家电、钢铁公司在竞争中博弈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政府对厂商不公平竞争行为进行监管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2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.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宏观经济调控与决策。竞赛使用《经济学综合仿真实训平台》软件中宏观调控模块。每队每年竞选政府，颁布宏观经济政策，调控经济运行以达到预期目标，其他未当选政府的各组可以预测经济指标与实际偏离度，软件将根据各组宏观目标达成情况和预测准确度自动评分。</w:t>
      </w:r>
    </w:p>
    <w:p>
      <w:pPr>
        <w:tabs>
          <w:tab w:val="left" w:pos="84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（1）国民收入理论、货币市场一般均衡理论</w:t>
      </w:r>
    </w:p>
    <w:tbl>
      <w:tblPr>
        <w:tblStyle w:val="5"/>
        <w:tblW w:w="7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858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  <w:jc w:val="center"/>
        </w:trPr>
        <w:tc>
          <w:tcPr>
            <w:tcW w:w="1236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竞赛模块</w:t>
            </w:r>
          </w:p>
        </w:tc>
        <w:tc>
          <w:tcPr>
            <w:tcW w:w="3858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竞赛环节</w:t>
            </w:r>
          </w:p>
        </w:tc>
        <w:tc>
          <w:tcPr>
            <w:tcW w:w="2287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涉及知识点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竞赛准备</w:t>
            </w:r>
          </w:p>
        </w:tc>
        <w:tc>
          <w:tcPr>
            <w:tcW w:w="385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制定各项宏观经济统计指标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凯恩斯的消费理论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乘数效应与挤出效应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国民收入决定理论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IS-LM分析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熟悉各项统计指标计算公式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熟悉通货膨胀形成的原因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熟悉简单国民收入决定因素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比赛流程</w:t>
            </w:r>
          </w:p>
        </w:tc>
        <w:tc>
          <w:tcPr>
            <w:tcW w:w="385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宏观经济运行数据的统计计算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宏观经济监控与分析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分析CPI、GDP变动的影响因素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分析利率市场波动的原因</w:t>
            </w:r>
          </w:p>
        </w:tc>
        <w:tc>
          <w:tcPr>
            <w:tcW w:w="228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tabs>
          <w:tab w:val="left" w:pos="84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（2）宏观经济学的经济周期与经济增长理论</w:t>
      </w:r>
    </w:p>
    <w:tbl>
      <w:tblPr>
        <w:tblStyle w:val="5"/>
        <w:tblW w:w="7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647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1227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竞赛模块</w:t>
            </w:r>
          </w:p>
        </w:tc>
        <w:tc>
          <w:tcPr>
            <w:tcW w:w="3647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竞赛环节</w:t>
            </w:r>
          </w:p>
        </w:tc>
        <w:tc>
          <w:tcPr>
            <w:tcW w:w="2468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涉及知识点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竞赛准备</w:t>
            </w:r>
          </w:p>
        </w:tc>
        <w:tc>
          <w:tcPr>
            <w:tcW w:w="3647" w:type="dxa"/>
            <w:vAlign w:val="center"/>
          </w:tcPr>
          <w:p>
            <w:pPr>
              <w:pStyle w:val="2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理解短期和长期经济波动的差异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总需求与总供给模型</w:t>
            </w:r>
          </w:p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新古典增长模型</w:t>
            </w:r>
          </w:p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经济周期理论</w:t>
            </w:r>
          </w:p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新凯恩斯主义AD-AS模型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>
            <w:pPr>
              <w:pStyle w:val="2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区分经济周期不同阶段的特征</w:t>
            </w:r>
          </w:p>
        </w:tc>
        <w:tc>
          <w:tcPr>
            <w:tcW w:w="246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>
            <w:pPr>
              <w:pStyle w:val="2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理解总需求与总供给导致的经济波动差异</w:t>
            </w:r>
          </w:p>
        </w:tc>
        <w:tc>
          <w:tcPr>
            <w:tcW w:w="246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比赛流程</w:t>
            </w:r>
          </w:p>
        </w:tc>
        <w:tc>
          <w:tcPr>
            <w:tcW w:w="3647" w:type="dxa"/>
          </w:tcPr>
          <w:p>
            <w:pPr>
              <w:pStyle w:val="2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模拟游戏中经济增长的核算</w:t>
            </w:r>
          </w:p>
        </w:tc>
        <w:tc>
          <w:tcPr>
            <w:tcW w:w="246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47" w:type="dxa"/>
          </w:tcPr>
          <w:p>
            <w:pPr>
              <w:pStyle w:val="2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统计土地总供给与总需求的变化</w:t>
            </w:r>
          </w:p>
        </w:tc>
        <w:tc>
          <w:tcPr>
            <w:tcW w:w="246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>
            <w:pPr>
              <w:pStyle w:val="2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分析总供给和总需求变化对宏观经济的影响</w:t>
            </w:r>
          </w:p>
        </w:tc>
        <w:tc>
          <w:tcPr>
            <w:tcW w:w="246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tabs>
          <w:tab w:val="left" w:pos="84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（3）财政政策与货币政策的应用</w:t>
      </w:r>
    </w:p>
    <w:tbl>
      <w:tblPr>
        <w:tblStyle w:val="5"/>
        <w:tblW w:w="7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95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1236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竞赛模块</w:t>
            </w:r>
          </w:p>
        </w:tc>
        <w:tc>
          <w:tcPr>
            <w:tcW w:w="3953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竞赛环节</w:t>
            </w:r>
          </w:p>
        </w:tc>
        <w:tc>
          <w:tcPr>
            <w:tcW w:w="2078" w:type="dxa"/>
            <w:shd w:val="clear" w:color="auto" w:fill="E6E6E6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涉及知识点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竞赛准备</w:t>
            </w:r>
          </w:p>
        </w:tc>
        <w:tc>
          <w:tcPr>
            <w:tcW w:w="3953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制定游戏中政府调控经济的目标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财政政策与货币政策</w:t>
            </w:r>
          </w:p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宏观经济政策理论及争议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设计本游戏中不同财政政策和货币工具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制定本游戏中货币和财政工具实施规则 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比赛流程</w:t>
            </w:r>
          </w:p>
        </w:tc>
        <w:tc>
          <w:tcPr>
            <w:tcW w:w="3953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货币政策组合工具实施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财政政策组合工具实施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根据宏观运营结果调整政策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检查政策是否实现了当初预定的目标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以上两个赛项部分合为一体，计算总成绩。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Helvetic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color w:val="333333"/>
          <w:kern w:val="0"/>
          <w:sz w:val="24"/>
          <w:szCs w:val="24"/>
        </w:rPr>
        <w:t>二、评分细则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各运营指标由两部分构成，第一部分为微观部分的经营企业整体情况得分；第二部分为当选政府团队的宏观经济目标实现得分，或未当选政府团队的宏观经济目标预测得分。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第一部分，权重为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40%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。以所有者权益为基础，本国内（比赛一个班级就是一个虚拟国家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最高者得满分，与最高者相差越大得分越低。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第二部分，权重为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20%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。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GDP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、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CPI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、失业率、个人总收入增长率四个指标各占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5%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权重。当选政府者：按当年宏观经济目标是否实现，每个指标实现即得满分，否则得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分；超出范围的财政赤字会扣减以上得分。未当选政府者：按四大指标的预测值与实际值的偏差，偏差范围在±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2%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内得满分，否则得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以上评分以虚拟国家为单位，比赛平台自动生成成绩，按照总成绩先后排名，不跨班评比。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Helvetic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color w:val="333333"/>
          <w:kern w:val="0"/>
          <w:sz w:val="24"/>
          <w:szCs w:val="24"/>
        </w:rPr>
        <w:t>三、获奖排名规则</w:t>
      </w:r>
      <w:r>
        <w:rPr>
          <w:rFonts w:ascii="宋体" w:hAnsi="宋体" w:eastAsia="宋体" w:cs="Helvetica"/>
          <w:b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本科生组和研究生组分设奖项。大赛设一等奖、二等奖、三等奖和优秀奖等四种奖项，根据报名参赛团队数量规模来确定各等级奖项名额。一等奖不超过参赛团队数比例的5%，二等奖不超过参赛团队数比例的15%，三等奖不超过参赛团队数比例的30%，优秀奖不超过参赛团队数比例的40%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获奖级别取决于：参赛团队的班内排名。具体排名方法如下：（1）先按参赛团队数量计算出各奖项比例和数量；（2）将奖项平均分配到各比赛班级（每班团队在3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0-50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组之间）；（3）按本班级内排名确定获奖等级。如，参赛团队1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000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组，则一等奖5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组，二等奖1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50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组，三等奖3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组，优秀奖4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组。若比赛开设2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个班级（每班4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组团队），则每班总分前两名为一等奖，3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~8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名二等奖，9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~20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名三等奖，2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1~36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名优秀奖。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获奖成绩前2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名团队（按全部团队的比赛总分排序），代表学校参加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第七届全国高校经济决策虚仿实验大赛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网络区域赛。（全国赛要求团队所有队员在微信公众号“上课宝”注册并通过练习赛获取积分，要求团队的积分总和达到2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40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分，团队注册信息必须和校内赛一致））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Helvetic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color w:val="333333"/>
          <w:kern w:val="0"/>
          <w:sz w:val="24"/>
          <w:szCs w:val="24"/>
        </w:rPr>
        <w:t>四、</w:t>
      </w:r>
      <w:r>
        <w:rPr>
          <w:rFonts w:hint="eastAsia" w:ascii="宋体" w:hAnsi="宋体" w:eastAsia="宋体" w:cs="Helvetica"/>
          <w:b/>
          <w:bCs/>
          <w:color w:val="333333"/>
          <w:kern w:val="0"/>
          <w:sz w:val="24"/>
          <w:szCs w:val="24"/>
        </w:rPr>
        <w:t>违规责任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典型违规事项及对应责任如下表所示。其他未列明违规，参照此表界定相应责任。</w:t>
      </w:r>
    </w:p>
    <w:tbl>
      <w:tblPr>
        <w:tblStyle w:val="6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36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color w:val="333333"/>
                <w:kern w:val="0"/>
                <w:sz w:val="24"/>
                <w:szCs w:val="24"/>
              </w:rPr>
              <w:t>违规事项</w:t>
            </w:r>
          </w:p>
        </w:tc>
        <w:tc>
          <w:tcPr>
            <w:tcW w:w="3072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color w:val="333333"/>
                <w:kern w:val="0"/>
                <w:sz w:val="24"/>
                <w:szCs w:val="24"/>
              </w:rPr>
              <w:t>承担责任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4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机器人托管超过</w:t>
            </w:r>
            <w:r>
              <w:rPr>
                <w:rFonts w:ascii="宋体" w:hAnsi="宋体" w:eastAsia="宋体" w:cs="Helvetica"/>
                <w:color w:val="333333"/>
              </w:rPr>
              <w:t>60%</w:t>
            </w:r>
            <w:r>
              <w:rPr>
                <w:rFonts w:hint="eastAsia" w:ascii="宋体" w:hAnsi="宋体" w:eastAsia="宋体" w:cs="Helvetica"/>
                <w:color w:val="333333"/>
              </w:rPr>
              <w:t>比例</w:t>
            </w:r>
          </w:p>
        </w:tc>
        <w:tc>
          <w:tcPr>
            <w:tcW w:w="3072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即使提交了作品，也视为弃赛将无参赛证明和获奖资格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4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违反软件界面规则、提示的操作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4"/>
                <w:szCs w:val="24"/>
              </w:rPr>
              <w:t>损己利人或损人利己方式进行私下串通交易</w:t>
            </w:r>
            <w:r>
              <w:rPr>
                <w:rFonts w:ascii="宋体" w:hAnsi="宋体" w:eastAsia="宋体" w:cs="Helvetic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取消本次操作获利并在软件中按获利金额罚款</w:t>
            </w:r>
            <w:r>
              <w:rPr>
                <w:rFonts w:ascii="宋体" w:hAnsi="宋体" w:eastAsia="宋体" w:cs="Helvetica"/>
                <w:color w:val="333333"/>
              </w:rPr>
              <w:t>1-5</w:t>
            </w:r>
            <w:r>
              <w:rPr>
                <w:rFonts w:hint="eastAsia" w:ascii="宋体" w:hAnsi="宋体" w:eastAsia="宋体" w:cs="Helvetica"/>
                <w:color w:val="333333"/>
              </w:rPr>
              <w:t>倍。如无法计算获利金额，将降低获奖等级，或取消晋级资格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4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接受非本组成员指导、提供辅助决策</w:t>
            </w:r>
          </w:p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由非本组成员操作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4"/>
                <w:szCs w:val="24"/>
              </w:rPr>
              <w:t>发布虚假消息等方式扰乱其他团队的经营</w:t>
            </w:r>
          </w:p>
        </w:tc>
        <w:tc>
          <w:tcPr>
            <w:tcW w:w="3072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将视严重程度降低获奖等级，或取消晋级资格、获奖资格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4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在各场合有侮辱诋毁参赛选手或指导老师等行为</w:t>
            </w:r>
          </w:p>
        </w:tc>
        <w:tc>
          <w:tcPr>
            <w:tcW w:w="3072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责令口头或书面致歉，严重者将取消参赛资格或承担相应法律责任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使用任何技术手段攻击比赛系统或改写后台数据，不得违规调用接口作弊</w:t>
            </w:r>
          </w:p>
        </w:tc>
        <w:tc>
          <w:tcPr>
            <w:tcW w:w="3072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取消参赛资格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4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eastAsia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利用接口攻击软件、利用媒体或网络恶意诽谤或诋毁大赛</w:t>
            </w:r>
          </w:p>
        </w:tc>
        <w:tc>
          <w:tcPr>
            <w:tcW w:w="3072" w:type="dxa"/>
          </w:tcPr>
          <w:p>
            <w:pPr>
              <w:pStyle w:val="13"/>
              <w:shd w:val="clear" w:color="auto" w:fill="FFFFFF"/>
              <w:jc w:val="both"/>
              <w:rPr>
                <w:rFonts w:ascii="宋体" w:hAnsi="宋体" w:eastAsia="宋体" w:cs="Helvetica"/>
                <w:color w:val="333333"/>
              </w:rPr>
            </w:pPr>
            <w:r>
              <w:rPr>
                <w:rFonts w:hint="eastAsia" w:ascii="宋体" w:hAnsi="宋体" w:eastAsia="宋体" w:cs="Helvetica"/>
                <w:color w:val="333333"/>
              </w:rPr>
              <w:t>取消参赛资格，并列入黑名单永久禁赛，并可能承担相应法律责任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ascii="宋体" w:hAnsi="宋体" w:eastAsia="宋体" w:cs="Helvetic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color w:val="333333"/>
          <w:kern w:val="0"/>
          <w:sz w:val="24"/>
          <w:szCs w:val="24"/>
        </w:rPr>
        <w:t>五、比赛培训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1.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网络视频学习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（1）学生注册的操作视频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fldChar w:fldCharType="begin"/>
      </w:r>
      <w:r>
        <w:instrText xml:space="preserve"> HYPERLINK "https://ke.qq.com/course/3414841?tuin=37970970&amp;taid=11307433418038073" </w:instrText>
      </w:r>
      <w:r>
        <w:fldChar w:fldCharType="separate"/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https://ke.qq.com/course/3414841?tuin=37970970&amp;taid=11307433418038073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（2）学生操作手册（详见大赛Q</w:t>
      </w:r>
      <w:r>
        <w:rPr>
          <w:rFonts w:ascii="宋体" w:hAnsi="宋体" w:eastAsia="宋体" w:cs="Helvetica"/>
          <w:color w:val="333333"/>
          <w:kern w:val="0"/>
          <w:sz w:val="24"/>
          <w:szCs w:val="24"/>
        </w:rPr>
        <w:t>Q</w:t>
      </w: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群文件）</w:t>
      </w:r>
    </w:p>
    <w:p>
      <w:pPr>
        <w:widowControl/>
        <w:shd w:val="clear" w:color="auto" w:fill="FFFFFF"/>
        <w:spacing w:line="360" w:lineRule="auto"/>
        <w:ind w:firstLine="420" w:firstLineChars="200"/>
        <w:jc w:val="center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drawing>
          <wp:inline distT="0" distB="0" distL="0" distR="0">
            <wp:extent cx="1857375" cy="183261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（3）基本操作视频：</w:t>
      </w:r>
    </w:p>
    <w:p>
      <w:pPr>
        <w:widowControl/>
        <w:shd w:val="clear" w:color="auto" w:fill="FFFFFF"/>
        <w:spacing w:line="360" w:lineRule="auto"/>
        <w:ind w:firstLine="420" w:firstLineChars="200"/>
      </w:pPr>
      <w:r>
        <w:fldChar w:fldCharType="begin"/>
      </w:r>
      <w:r>
        <w:instrText xml:space="preserve"> HYPERLINK "https://meeting.tencent.com/user-center/shared-record-info?id=745447a8-abb3-42ea-9116-22872af74345&amp;is-single=false&amp;record_type=2&amp;from=3" </w:instrText>
      </w:r>
      <w:r>
        <w:fldChar w:fldCharType="separate"/>
      </w:r>
      <w:r>
        <w:rPr>
          <w:rStyle w:val="9"/>
        </w:rPr>
        <w:t>https://meeting.tencent.com/user-center/shared-record-info?id=745447a8-abb3-42ea-9116-22872af74345&amp;is-single=false&amp;record_type=2&amp;from=3</w:t>
      </w:r>
      <w:r>
        <w:rPr>
          <w:rStyle w:val="9"/>
        </w:rPr>
        <w:fldChar w:fldCharType="end"/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33333"/>
          <w:kern w:val="0"/>
          <w:sz w:val="24"/>
          <w:szCs w:val="24"/>
        </w:rPr>
        <w:t>（4）规则学习：比赛平台软件界面“制胜法宝”——学员手册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Helvetica"/>
          <w:color w:val="333333"/>
          <w:kern w:val="0"/>
          <w:sz w:val="24"/>
          <w:szCs w:val="24"/>
        </w:rPr>
      </w:pPr>
      <w:r>
        <w:rPr>
          <w:rFonts w:ascii="宋体" w:hAnsi="宋体" w:eastAsia="宋体" w:cs="Helvetica"/>
          <w:bCs/>
          <w:color w:val="333333"/>
          <w:kern w:val="0"/>
          <w:sz w:val="24"/>
          <w:szCs w:val="24"/>
        </w:rPr>
        <w:t>2.</w:t>
      </w: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线下答疑（具体时间大赛Q</w:t>
      </w:r>
      <w:r>
        <w:rPr>
          <w:rFonts w:ascii="宋体" w:hAnsi="宋体" w:eastAsia="宋体" w:cs="Helvetica"/>
          <w:bCs/>
          <w:color w:val="333333"/>
          <w:kern w:val="0"/>
          <w:sz w:val="24"/>
          <w:szCs w:val="24"/>
        </w:rPr>
        <w:t>Q</w:t>
      </w: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群另行通知）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Helvetica"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right"/>
        <w:rPr>
          <w:rFonts w:ascii="宋体" w:hAnsi="宋体" w:eastAsia="宋体" w:cs="Helvetica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经济学院</w:t>
      </w:r>
    </w:p>
    <w:p>
      <w:pPr>
        <w:widowControl/>
        <w:shd w:val="clear" w:color="auto" w:fill="FFFFFF"/>
        <w:spacing w:line="360" w:lineRule="auto"/>
        <w:jc w:val="right"/>
        <w:rPr>
          <w:rFonts w:ascii="宋体" w:hAnsi="宋体" w:eastAsia="宋体" w:cs="Helvetica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Helvetica"/>
          <w:bCs/>
          <w:color w:val="333333"/>
          <w:kern w:val="0"/>
          <w:sz w:val="24"/>
          <w:szCs w:val="24"/>
        </w:rPr>
        <w:t>二〇二四年四月二十二日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zYmY1MThjMjM5MThiM2EyMmI0MGVmYjI4Y2IzZTUifQ=="/>
  </w:docVars>
  <w:rsids>
    <w:rsidRoot w:val="00A8536B"/>
    <w:rsid w:val="0004334B"/>
    <w:rsid w:val="00072CC0"/>
    <w:rsid w:val="00085493"/>
    <w:rsid w:val="000A0193"/>
    <w:rsid w:val="000C614A"/>
    <w:rsid w:val="00104BA7"/>
    <w:rsid w:val="001115F1"/>
    <w:rsid w:val="00112D49"/>
    <w:rsid w:val="00183087"/>
    <w:rsid w:val="001A7839"/>
    <w:rsid w:val="00247D43"/>
    <w:rsid w:val="002645E7"/>
    <w:rsid w:val="003215B0"/>
    <w:rsid w:val="00340D2A"/>
    <w:rsid w:val="0034576B"/>
    <w:rsid w:val="003753C2"/>
    <w:rsid w:val="003F51AA"/>
    <w:rsid w:val="0040671D"/>
    <w:rsid w:val="00427ABC"/>
    <w:rsid w:val="004503C4"/>
    <w:rsid w:val="004B123E"/>
    <w:rsid w:val="004D1AC9"/>
    <w:rsid w:val="004D6D5C"/>
    <w:rsid w:val="004E123F"/>
    <w:rsid w:val="00517F59"/>
    <w:rsid w:val="00552E7A"/>
    <w:rsid w:val="005705C8"/>
    <w:rsid w:val="005A1AD2"/>
    <w:rsid w:val="006113E7"/>
    <w:rsid w:val="0068707D"/>
    <w:rsid w:val="006909AA"/>
    <w:rsid w:val="006D540B"/>
    <w:rsid w:val="006E59AD"/>
    <w:rsid w:val="00717300"/>
    <w:rsid w:val="00783D53"/>
    <w:rsid w:val="00785FF3"/>
    <w:rsid w:val="007A49BB"/>
    <w:rsid w:val="007B7CEA"/>
    <w:rsid w:val="00822DC1"/>
    <w:rsid w:val="0082520B"/>
    <w:rsid w:val="0083654C"/>
    <w:rsid w:val="00874E79"/>
    <w:rsid w:val="008D594C"/>
    <w:rsid w:val="008D6B94"/>
    <w:rsid w:val="00927B05"/>
    <w:rsid w:val="0095705D"/>
    <w:rsid w:val="009F1E42"/>
    <w:rsid w:val="009F54E5"/>
    <w:rsid w:val="00A12079"/>
    <w:rsid w:val="00A8536B"/>
    <w:rsid w:val="00AD7BBA"/>
    <w:rsid w:val="00AF7201"/>
    <w:rsid w:val="00BE796E"/>
    <w:rsid w:val="00C36003"/>
    <w:rsid w:val="00C826B1"/>
    <w:rsid w:val="00CF565A"/>
    <w:rsid w:val="00CF711B"/>
    <w:rsid w:val="00D05012"/>
    <w:rsid w:val="00D3473F"/>
    <w:rsid w:val="00DA5C89"/>
    <w:rsid w:val="00DA5C9B"/>
    <w:rsid w:val="00DB00A5"/>
    <w:rsid w:val="00E543E1"/>
    <w:rsid w:val="00EA6C8F"/>
    <w:rsid w:val="00EB7AB3"/>
    <w:rsid w:val="00FC0B61"/>
    <w:rsid w:val="00FC40B1"/>
    <w:rsid w:val="00FE2662"/>
    <w:rsid w:val="00FF2DF2"/>
    <w:rsid w:val="00FF77C3"/>
    <w:rsid w:val="457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纯文本 字符"/>
    <w:basedOn w:val="7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507</Words>
  <Characters>2894</Characters>
  <Lines>24</Lines>
  <Paragraphs>6</Paragraphs>
  <TotalTime>0</TotalTime>
  <ScaleCrop>false</ScaleCrop>
  <LinksUpToDate>false</LinksUpToDate>
  <CharactersWithSpaces>3395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2024-04-24T16:35:00Z</dcterms:created>
  <dc:creator>teacher</dc:creator>
  <cp:lastModifiedBy>Administrator</cp:lastModifiedBy>
  <dcterms:modified xsi:type="dcterms:W3CDTF">2024-04-26T02:22:47Z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98F40E05BE654937965B041D9E81FEBC_12</vt:lpwstr>
  </property>
</Properties>
</file>