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</w:p>
    <w:p>
      <w:pPr>
        <w:widowControl/>
        <w:snapToGrid w:val="0"/>
        <w:spacing w:line="288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赛</w:t>
      </w:r>
      <w:r>
        <w:rPr>
          <w:rFonts w:ascii="仿宋" w:hAnsi="仿宋" w:eastAsia="仿宋" w:cs="仿宋"/>
          <w:sz w:val="28"/>
          <w:szCs w:val="28"/>
        </w:rPr>
        <w:t>事指南</w:t>
      </w:r>
    </w:p>
    <w:p>
      <w:pPr>
        <w:pStyle w:val="4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整个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赛事分为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初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赛、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复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两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个阶段。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（一）初赛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阶段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初赛限时现场赛：2020年11月4日，比赛地点暂定为安徽财经大学东校区慎思楼或求真楼。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复赛阶段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复赛限时现场赛：2020年11月11日，比赛地点暂定为安徽财经大学东校区慎思楼或求真楼。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二、竞赛内容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建账、原始凭证的审核与填制；记账凭证的编制与审核；会计凭证汇总；账簿登记；对账与结账；会计报表编制等。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（二）大纲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财会技能创新大赛以制造业为背景，通过仿真原始凭证提供企业当月发生的经济业务资料，要求选手对当月经济业务进行手工处理并编制本月会计报表。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竞赛内容涉及的经济业务范围：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货币资金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（1）库存现金核算及清查。（2）银行存款核算与核对。（3）其他货币资金的核算。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应收及预付款项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（1）应收票据、应收账款、预付账款和其他应收款的核算。（2）应收款项的减值。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存货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（1）存货（原材料、库存商品、委托加工物资、周转材料）收入、发出的核算。（2）存货清查。③存货减值。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长期股权投资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（1）长期股权投资成本法的核算。（2）长期股权投资权益法的核算。（3）长期股权投资减值。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固定资产和投资性房地产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（1）固定资产增加、减少、折旧的核算。（2）固定资产后续支出的核算。（3）固定资产清查。（4）固定资产减值。（5）投资性房地产的取得、后续计量及处置的核算。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无形资产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（1）无形资产的取得、摊销及处置的核算。（2）无形资产减值。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流动负债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（1）短期借款的核算。（2）应付及预收款项的核算。（3）应付职工薪酬的核算。（4）应交增值税、消费税、所得税及其他应交税费的核算。（5）应付股利、应付利息及其他应付款的核算。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（1）长期借款的核算。（2）应付债券的核算。（3）长期应付款的核算。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所有者权益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（1）实收资本的核算。（2）资本公积的核算。（3）留存收益的核算。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收入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（1）销售商品收入的核算。（2）提供劳务收入的核算。（3）让渡资产使用权收入的核算。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费用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（1）营业成本的核算。（2）营业税金及附加的核算。（3）期间费用的核算。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产品成本核算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（1）要素费用的归集和分配。（2）生产费用在完工产品和在产品之间的归集和分配。（3）产品生产成本的计算。（4）营业外收入、营业外支出的核算。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税费业务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所得税费用的核算。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利润及利润分配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（1）本年利润的结转。（2）本年利润的分配。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财务报表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（1）资产负债表的编制。（2）利润表的编制。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三、评分标准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3969"/>
        <w:gridCol w:w="1134"/>
        <w:gridCol w:w="1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项目任务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结果提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交方式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建账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根据所给资料建立有关账簿。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现金、银行存款日记账登记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明细分类账、总分类账登记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其他业务处理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办理现金支票提现、转账支票倒送、商业汇票背书等。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记账凭证的编制与审核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记账凭证编制、记账凭证审核、相关签名盖章。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资产负债表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利润表编制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编制纳税申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报表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编制所得税、增值税、地方税申报表。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科目汇总表的编制。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产品成本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计算单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成本计算。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5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256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 xml:space="preserve">合 </w:t>
            </w:r>
            <w:r>
              <w:rPr>
                <w:rFonts w:ascii="Calibri" w:hAnsi="Calibri" w:eastAsia="仿宋" w:cs="Calibri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四、奖项设置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校内赛选拔出一等奖、二等奖、三等奖和优胜奖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>
      <w:pPr>
        <w:pStyle w:val="4"/>
        <w:spacing w:line="360" w:lineRule="auto"/>
        <w:ind w:firstLine="480" w:firstLineChars="200"/>
        <w:jc w:val="left"/>
        <w:rPr>
          <w:rFonts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（二）根据校赛各个岗位前两名确定省赛名单。</w:t>
      </w:r>
    </w:p>
    <w:p>
      <w:pPr>
        <w:pStyle w:val="4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赛事相关部门及负责人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（一）主办单位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安徽财经大学教务处（创业学院）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（二）承办单位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安徽财经大学会计学院</w:t>
      </w:r>
    </w:p>
    <w:p>
      <w:pPr>
        <w:widowControl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具体负责老师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：刘庆龄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18955296980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、董小红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13955243966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7"/>
    <w:rsid w:val="00261DAD"/>
    <w:rsid w:val="002750B0"/>
    <w:rsid w:val="002E247E"/>
    <w:rsid w:val="00410585"/>
    <w:rsid w:val="00457E27"/>
    <w:rsid w:val="00575232"/>
    <w:rsid w:val="005960A3"/>
    <w:rsid w:val="00672EAB"/>
    <w:rsid w:val="006B6ACB"/>
    <w:rsid w:val="006E32B6"/>
    <w:rsid w:val="0076532F"/>
    <w:rsid w:val="0079424C"/>
    <w:rsid w:val="00795128"/>
    <w:rsid w:val="008422F7"/>
    <w:rsid w:val="008913CA"/>
    <w:rsid w:val="00972F1F"/>
    <w:rsid w:val="00981F07"/>
    <w:rsid w:val="00A87B4F"/>
    <w:rsid w:val="00AC4143"/>
    <w:rsid w:val="00AE6121"/>
    <w:rsid w:val="00B307A9"/>
    <w:rsid w:val="00BB7A93"/>
    <w:rsid w:val="00C62AE6"/>
    <w:rsid w:val="00C82CDF"/>
    <w:rsid w:val="00CB2420"/>
    <w:rsid w:val="00E37A57"/>
    <w:rsid w:val="1E4001E8"/>
    <w:rsid w:val="40413C20"/>
    <w:rsid w:val="6C3D61EF"/>
    <w:rsid w:val="6EBD395E"/>
    <w:rsid w:val="719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266</Words>
  <Characters>1521</Characters>
  <Lines>12</Lines>
  <Paragraphs>3</Paragraphs>
  <TotalTime>24</TotalTime>
  <ScaleCrop>false</ScaleCrop>
  <LinksUpToDate>false</LinksUpToDate>
  <CharactersWithSpaces>1784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user</cp:lastModifiedBy>
  <dcterms:modified xsi:type="dcterms:W3CDTF">2020-10-16T07:40:01Z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