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288" w:lineRule="auto"/>
        <w:jc w:val="left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附件1：</w:t>
      </w:r>
      <w:r>
        <w:rPr>
          <w:rFonts w:hint="eastAsia" w:ascii="楷体" w:hAnsi="楷体" w:eastAsia="楷体" w:cs="仿宋"/>
          <w:b/>
          <w:sz w:val="28"/>
          <w:szCs w:val="28"/>
        </w:rPr>
        <w:t>　</w:t>
      </w:r>
      <w:r>
        <w:rPr>
          <w:rFonts w:ascii="楷体" w:hAnsi="楷体" w:eastAsia="楷体" w:cs="仿宋"/>
          <w:b/>
          <w:sz w:val="28"/>
          <w:szCs w:val="28"/>
        </w:rPr>
        <w:t>　　　　　　</w:t>
      </w:r>
      <w:r>
        <w:rPr>
          <w:rFonts w:ascii="仿宋" w:hAnsi="仿宋" w:eastAsia="仿宋" w:cs="仿宋"/>
          <w:b/>
          <w:sz w:val="28"/>
          <w:szCs w:val="28"/>
        </w:rPr>
        <w:t>　</w:t>
      </w:r>
    </w:p>
    <w:p>
      <w:pPr>
        <w:widowControl/>
        <w:snapToGrid w:val="0"/>
        <w:spacing w:line="288" w:lineRule="auto"/>
        <w:jc w:val="center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赛</w:t>
      </w:r>
      <w:r>
        <w:rPr>
          <w:rFonts w:ascii="仿宋" w:hAnsi="仿宋" w:eastAsia="仿宋" w:cs="仿宋"/>
          <w:sz w:val="28"/>
          <w:szCs w:val="28"/>
        </w:rPr>
        <w:t>事指南</w:t>
      </w:r>
    </w:p>
    <w:p>
      <w:pPr>
        <w:pStyle w:val="4"/>
        <w:spacing w:line="360" w:lineRule="auto"/>
        <w:ind w:firstLine="482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一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赛事流程与</w:t>
      </w:r>
      <w:r>
        <w:rPr>
          <w:rFonts w:ascii="仿宋" w:hAnsi="仿宋" w:eastAsia="仿宋"/>
          <w:sz w:val="24"/>
          <w:szCs w:val="24"/>
        </w:rPr>
        <w:t>要求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整个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赛事分为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初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赛、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复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赛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两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个阶段。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（一）初赛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阶段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初赛限时现场赛：2020年11月4日，比赛地点暂定为安徽财经大学东校区慎思楼或求真楼。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（二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复赛阶段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/>
          <w:b/>
          <w:szCs w:val="24"/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复赛限时现场赛：2020年11月11日，比赛地点暂定为安徽财经大学东校区慎思楼或求真楼。</w:t>
      </w:r>
    </w:p>
    <w:p>
      <w:pPr>
        <w:widowControl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  <w:t>二、竞赛内容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（一）内容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建账、原始凭证的审核与填制；记账凭证的编制与审核；会计凭证汇总；账簿登记；对账与结账；会计报表编制等。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（二）大纲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财会技能创新大赛以制造业为背景，通过仿真原始凭证提供企业当月发生的经济业务资料，要求选手对当月经济业务进行手工处理并编制本月会计报表。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竞赛内容涉及的经济业务范围：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货币资金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（1）库存现金核算及清查。（2）银行存款核算与核对。（3）其他货币资金的核算。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应收及预付款项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（1）应收票据、应收账款、预付账款和其他应收款的核算。（2）应收款项的减值。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交易性金融资产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交易性金融资产的核算。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存货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（1）存货（原材料、库存商品、委托加工物资、周转材料）收入、发出的核算。（2）存货清查。③存货减值。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5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长期股权投资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（1）长期股权投资成本法的核算。（2）长期股权投资权益法的核算。（3）长期股权投资减值。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固定资产和投资性房地产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（1）固定资产增加、减少、折旧的核算。（2）固定资产后续支出的核算。（3）固定资产清查。（4）固定资产减值。（5）投资性房地产的取得、后续计量及处置的核算。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7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无形资产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（1）无形资产的取得、摊销及处置的核算。（2）无形资产减值。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8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其他资产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其他资产的核算。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9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流动负债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（1）短期借款的核算。（2）应付及预收款项的核算。（3）应付职工薪酬的核算。（4）应交增值税、消费税、所得税及其他应交税费的核算。（5）应付股利、应付利息及其他应付款的核算。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0.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长期负债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（1）长期借款的核算。（2）应付债券的核算。（3）长期应付款的核算。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11.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所有者权益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（1）实收资本的核算。（2）资本公积的核算。（3）留存收益的核算。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收入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（1）销售商品收入的核算。（2）提供劳务收入的核算。（3）让渡资产使用权收入的核算。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费用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（1）营业成本的核算。（2）营业税金及附加的核算。（3）期间费用的核算。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产品成本核算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（1）要素费用的归集和分配。（2）生产费用在完工产品和在产品之间的归集和分配。（3）产品生产成本的计算。（4）营业外收入、营业外支出的核算。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5.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税费业务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所得税费用的核算。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6.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利润及利润分配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（1）本年利润的结转。（2）本年利润的分配。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7.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财务报表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（1）资产负债表的编制。（2）利润表的编制。</w:t>
      </w:r>
    </w:p>
    <w:p>
      <w:pPr>
        <w:widowControl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  <w:t>三、评分标准</w:t>
      </w:r>
    </w:p>
    <w:tbl>
      <w:tblPr>
        <w:tblStyle w:val="5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13"/>
        <w:gridCol w:w="3969"/>
        <w:gridCol w:w="1134"/>
        <w:gridCol w:w="113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" w:hRule="atLeast"/>
          <w:jc w:val="center"/>
        </w:trPr>
        <w:tc>
          <w:tcPr>
            <w:tcW w:w="16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33333"/>
                <w:kern w:val="0"/>
                <w:sz w:val="21"/>
                <w:szCs w:val="21"/>
              </w:rPr>
              <w:t>项目任务</w:t>
            </w:r>
          </w:p>
        </w:tc>
        <w:tc>
          <w:tcPr>
            <w:tcW w:w="39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33333"/>
                <w:kern w:val="0"/>
                <w:sz w:val="21"/>
                <w:szCs w:val="21"/>
              </w:rPr>
              <w:t>评分内容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33333"/>
                <w:kern w:val="0"/>
                <w:sz w:val="21"/>
                <w:szCs w:val="21"/>
              </w:rPr>
              <w:t>分值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33333"/>
                <w:kern w:val="0"/>
                <w:sz w:val="21"/>
                <w:szCs w:val="21"/>
              </w:rPr>
              <w:t>占比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33333"/>
                <w:kern w:val="0"/>
                <w:sz w:val="21"/>
                <w:szCs w:val="21"/>
              </w:rPr>
              <w:t>结果提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333333"/>
                <w:kern w:val="0"/>
                <w:sz w:val="21"/>
                <w:szCs w:val="21"/>
              </w:rPr>
              <w:t>交方式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8" w:hRule="atLeast"/>
          <w:jc w:val="center"/>
        </w:trPr>
        <w:tc>
          <w:tcPr>
            <w:tcW w:w="1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建账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根据所给资料建立有关账簿。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电子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4" w:hRule="atLeast"/>
          <w:jc w:val="center"/>
        </w:trPr>
        <w:tc>
          <w:tcPr>
            <w:tcW w:w="1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现金、银行存款日记账登记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账簿启用表的登记、期初余额的登记、本期发生额的登记，期末余额的登记、对账、结账。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电子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6" w:hRule="atLeast"/>
          <w:jc w:val="center"/>
        </w:trPr>
        <w:tc>
          <w:tcPr>
            <w:tcW w:w="1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明细分类账、总分类账登记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账簿启用表的登记、期初余额的登记、本期发生额的登记，期末余额的登记、对账、结账。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电子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  <w:jc w:val="center"/>
        </w:trPr>
        <w:tc>
          <w:tcPr>
            <w:tcW w:w="1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其他业务处理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办理现金支票提现、转账支票倒送、商业汇票背书等。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电子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7" w:hRule="atLeast"/>
          <w:jc w:val="center"/>
        </w:trPr>
        <w:tc>
          <w:tcPr>
            <w:tcW w:w="1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记账凭证的编制与审核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记账凭证编制、记账凭证审核、相关签名盖章。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电子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8" w:hRule="atLeast"/>
          <w:jc w:val="center"/>
        </w:trPr>
        <w:tc>
          <w:tcPr>
            <w:tcW w:w="1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资产负债表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编制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表头的填写；报表各项目指标的计算与填写。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电子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利润表编制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表头的填写；报表各项目指标的计算与填写。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电子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6" w:hRule="atLeast"/>
          <w:jc w:val="center"/>
        </w:trPr>
        <w:tc>
          <w:tcPr>
            <w:tcW w:w="1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编制纳税申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报表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编制所得税、增值税、地方税申报表。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电子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6" w:hRule="atLeast"/>
          <w:jc w:val="center"/>
        </w:trPr>
        <w:tc>
          <w:tcPr>
            <w:tcW w:w="1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科目汇总表编制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科目汇总表的编制。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电子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6" w:hRule="atLeast"/>
          <w:jc w:val="center"/>
        </w:trPr>
        <w:tc>
          <w:tcPr>
            <w:tcW w:w="16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产品成本</w:t>
            </w:r>
          </w:p>
          <w:p>
            <w:pPr>
              <w:widowControl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计算单</w:t>
            </w:r>
          </w:p>
        </w:tc>
        <w:tc>
          <w:tcPr>
            <w:tcW w:w="39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成本计算。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电子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  <w:jc w:val="center"/>
        </w:trPr>
        <w:tc>
          <w:tcPr>
            <w:tcW w:w="55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ind w:firstLine="2256"/>
              <w:jc w:val="left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 xml:space="preserve">合 </w:t>
            </w:r>
            <w:r>
              <w:rPr>
                <w:rFonts w:ascii="Calibri" w:hAnsi="Calibri" w:eastAsia="仿宋" w:cs="Calibri"/>
                <w:color w:val="333333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计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color w:val="333333"/>
                <w:kern w:val="0"/>
                <w:sz w:val="21"/>
                <w:szCs w:val="21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Times New Roman" w:hAnsi="Times New Roman" w:eastAsia="微软雅黑" w:cs="Times New Roman"/>
                <w:color w:val="333333"/>
                <w:kern w:val="0"/>
                <w:sz w:val="21"/>
                <w:szCs w:val="21"/>
              </w:rPr>
            </w:pPr>
          </w:p>
        </w:tc>
      </w:tr>
    </w:tbl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napToGrid w:val="0"/>
        <w:spacing w:line="360" w:lineRule="auto"/>
        <w:ind w:firstLine="482" w:firstLineChars="200"/>
        <w:rPr>
          <w:rFonts w:ascii="仿宋" w:hAnsi="仿宋" w:eastAsia="仿宋" w:cs="仿宋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color w:val="000000" w:themeColor="text1"/>
          <w:szCs w:val="24"/>
          <w14:textFill>
            <w14:solidFill>
              <w14:schemeClr w14:val="tx1"/>
            </w14:solidFill>
          </w14:textFill>
        </w:rPr>
        <w:t>四、奖项设置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一）校内赛选拔出一等奖、二等奖、三等奖和优胜奖。根据参赛学生队伍规模确定各等级奖项名额，原则上：一等奖不超过参赛总队数的5%，二等奖不超过参赛总队数的15%，三等奖不超过参赛总队数的30%，优胜奖不超过参赛总队数的40%。</w:t>
      </w:r>
    </w:p>
    <w:p>
      <w:pPr>
        <w:pStyle w:val="4"/>
        <w:spacing w:line="360" w:lineRule="auto"/>
        <w:ind w:firstLine="480" w:firstLineChars="200"/>
        <w:jc w:val="left"/>
        <w:rPr>
          <w:rFonts w:ascii="仿宋" w:hAnsi="仿宋" w:eastAsia="仿宋" w:cs="仿宋"/>
          <w:b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color w:val="000000" w:themeColor="text1"/>
          <w:kern w:val="2"/>
          <w:sz w:val="24"/>
          <w:szCs w:val="24"/>
          <w14:textFill>
            <w14:solidFill>
              <w14:schemeClr w14:val="tx1"/>
            </w14:solidFill>
          </w14:textFill>
        </w:rPr>
        <w:t>（二）根据校赛各个岗位前两名确定省赛名单。</w:t>
      </w:r>
    </w:p>
    <w:p>
      <w:pPr>
        <w:pStyle w:val="4"/>
        <w:spacing w:line="360" w:lineRule="auto"/>
        <w:ind w:firstLine="482" w:firstLineChars="200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五</w:t>
      </w:r>
      <w:r>
        <w:rPr>
          <w:rFonts w:ascii="仿宋" w:hAnsi="仿宋" w:eastAsia="仿宋"/>
          <w:sz w:val="24"/>
          <w:szCs w:val="24"/>
        </w:rPr>
        <w:t>、</w:t>
      </w:r>
      <w:r>
        <w:rPr>
          <w:rFonts w:hint="eastAsia" w:ascii="仿宋" w:hAnsi="仿宋" w:eastAsia="仿宋"/>
          <w:sz w:val="24"/>
          <w:szCs w:val="24"/>
        </w:rPr>
        <w:t>赛事相关部门及负责人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（一）主办单位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安徽财经大学教务处（创业学院）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（二）承办单位</w:t>
      </w:r>
    </w:p>
    <w:p>
      <w:pPr>
        <w:widowControl/>
        <w:snapToGrid w:val="0"/>
        <w:spacing w:line="360" w:lineRule="auto"/>
        <w:ind w:firstLine="480" w:firstLineChars="200"/>
        <w:rPr>
          <w:rFonts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安徽财经大学会计学院</w:t>
      </w:r>
    </w:p>
    <w:p>
      <w:pPr>
        <w:widowControl/>
        <w:snapToGrid w:val="0"/>
        <w:spacing w:line="360" w:lineRule="auto"/>
        <w:ind w:firstLine="480" w:firstLineChars="200"/>
        <w:rPr>
          <w:rFonts w:hint="default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color w:val="000000" w:themeColor="text1"/>
          <w:szCs w:val="24"/>
          <w:lang w:eastAsia="zh-CN"/>
          <w14:textFill>
            <w14:solidFill>
              <w14:schemeClr w14:val="tx1"/>
            </w14:solidFill>
          </w14:textFill>
        </w:rPr>
        <w:t>具体负责老师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：刘庆龄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18955296980</w:t>
      </w:r>
      <w:r>
        <w:rPr>
          <w:rFonts w:hint="eastAsia" w:ascii="仿宋" w:hAnsi="仿宋" w:eastAsia="仿宋" w:cs="仿宋"/>
          <w:color w:val="000000" w:themeColor="text1"/>
          <w:szCs w:val="24"/>
          <w14:textFill>
            <w14:solidFill>
              <w14:schemeClr w14:val="tx1"/>
            </w14:solidFill>
          </w14:textFill>
        </w:rPr>
        <w:t>、董小红</w:t>
      </w:r>
      <w:r>
        <w:rPr>
          <w:rFonts w:hint="eastAsia" w:ascii="仿宋" w:hAnsi="仿宋" w:eastAsia="仿宋" w:cs="仿宋"/>
          <w:color w:val="000000" w:themeColor="text1"/>
          <w:szCs w:val="24"/>
          <w:lang w:val="en-US" w:eastAsia="zh-CN"/>
          <w14:textFill>
            <w14:solidFill>
              <w14:schemeClr w14:val="tx1"/>
            </w14:solidFill>
          </w14:textFill>
        </w:rPr>
        <w:t>13955243966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宋体..昀瀕.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14518577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2F7"/>
    <w:rsid w:val="00261DAD"/>
    <w:rsid w:val="002750B0"/>
    <w:rsid w:val="002E247E"/>
    <w:rsid w:val="00410585"/>
    <w:rsid w:val="00457E27"/>
    <w:rsid w:val="00575232"/>
    <w:rsid w:val="005960A3"/>
    <w:rsid w:val="00672EAB"/>
    <w:rsid w:val="006B6ACB"/>
    <w:rsid w:val="006E32B6"/>
    <w:rsid w:val="0076532F"/>
    <w:rsid w:val="0079424C"/>
    <w:rsid w:val="00795128"/>
    <w:rsid w:val="008422F7"/>
    <w:rsid w:val="008913CA"/>
    <w:rsid w:val="00972F1F"/>
    <w:rsid w:val="00981F07"/>
    <w:rsid w:val="00A87B4F"/>
    <w:rsid w:val="00AC4143"/>
    <w:rsid w:val="00AE6121"/>
    <w:rsid w:val="00B307A9"/>
    <w:rsid w:val="00BB7A93"/>
    <w:rsid w:val="00C62AE6"/>
    <w:rsid w:val="00C82CDF"/>
    <w:rsid w:val="00CB2420"/>
    <w:rsid w:val="00E37A57"/>
    <w:rsid w:val="1E4001E8"/>
    <w:rsid w:val="40413C20"/>
    <w:rsid w:val="6C3D61EF"/>
    <w:rsid w:val="6EBD395E"/>
    <w:rsid w:val="719E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link w:val="9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kern w:val="0"/>
      <w:sz w:val="32"/>
      <w:szCs w:val="32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qFormat/>
    <w:uiPriority w:val="0"/>
    <w:rPr>
      <w:rFonts w:ascii="Cambria" w:hAnsi="Cambria" w:eastAsia="宋体" w:cs="Times New Roman"/>
      <w:b/>
      <w:kern w:val="0"/>
      <w:sz w:val="32"/>
      <w:szCs w:val="32"/>
    </w:rPr>
  </w:style>
  <w:style w:type="paragraph" w:customStyle="1" w:styleId="10">
    <w:name w:val="Default"/>
    <w:uiPriority w:val="0"/>
    <w:pPr>
      <w:widowControl w:val="0"/>
      <w:autoSpaceDE w:val="0"/>
      <w:autoSpaceDN w:val="0"/>
      <w:adjustRightInd w:val="0"/>
    </w:pPr>
    <w:rPr>
      <w:rFonts w:ascii="宋体..昀瀕.." w:eastAsia="宋体..昀瀕.." w:cs="宋体..昀瀕.." w:hAnsiTheme="minorHAnsi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266</Words>
  <Characters>1521</Characters>
  <Lines>12</Lines>
  <Paragraphs>3</Paragraphs>
  <TotalTime>24</TotalTime>
  <ScaleCrop>false</ScaleCrop>
  <LinksUpToDate>false</LinksUpToDate>
  <CharactersWithSpaces>1784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2020-09-12T14:50:00Z</dcterms:created>
  <dc:creator>赵燕</dc:creator>
  <cp:lastModifiedBy>user</cp:lastModifiedBy>
  <dcterms:modified xsi:type="dcterms:W3CDTF">2020-10-16T07:40:01Z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