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55" w:lineRule="atLeast"/>
        <w:jc w:val="center"/>
        <w:rPr>
          <w:rFonts w:ascii="宋体" w:hAnsi="宋体" w:eastAsia="宋体" w:cs="宋体"/>
          <w:color w:val="333333"/>
          <w:kern w:val="0"/>
          <w:sz w:val="24"/>
          <w:szCs w:val="24"/>
        </w:rPr>
      </w:pPr>
      <w:r>
        <w:rPr>
          <w:rFonts w:hint="eastAsia" w:ascii="华文中宋" w:hAnsi="华文中宋" w:eastAsia="华文中宋" w:cs="宋体"/>
          <w:b/>
          <w:bCs/>
          <w:color w:val="333333"/>
          <w:kern w:val="0"/>
          <w:sz w:val="32"/>
          <w:szCs w:val="32"/>
        </w:rPr>
        <w:t>安徽财经大学普通本科学生专业分流管理办法（修订）</w:t>
      </w:r>
    </w:p>
    <w:p>
      <w:pPr>
        <w:widowControl/>
        <w:shd w:val="clear" w:color="auto" w:fill="FFFFFF"/>
        <w:spacing w:line="435" w:lineRule="atLeast"/>
        <w:ind w:firstLine="420"/>
        <w:jc w:val="left"/>
        <w:rPr>
          <w:rFonts w:ascii="宋体" w:hAnsi="宋体" w:eastAsia="宋体" w:cs="宋体"/>
          <w:color w:val="333333"/>
          <w:kern w:val="0"/>
          <w:szCs w:val="21"/>
        </w:rPr>
      </w:pPr>
      <w:r>
        <w:rPr>
          <w:rFonts w:ascii="宋体" w:hAnsi="宋体" w:eastAsia="宋体" w:cs="宋体"/>
          <w:color w:val="333333"/>
          <w:kern w:val="0"/>
          <w:szCs w:val="21"/>
        </w:rPr>
        <w:t>  </w:t>
      </w:r>
    </w:p>
    <w:p>
      <w:pPr>
        <w:widowControl/>
        <w:shd w:val="clear" w:color="auto" w:fill="FFFFFF"/>
        <w:spacing w:line="315" w:lineRule="atLeast"/>
        <w:ind w:firstLine="555"/>
        <w:rPr>
          <w:rFonts w:ascii="宋体" w:hAnsi="宋体" w:eastAsia="宋体" w:cs="宋体"/>
          <w:color w:val="333333"/>
          <w:kern w:val="0"/>
          <w:szCs w:val="21"/>
        </w:rPr>
      </w:pPr>
      <w:r>
        <w:rPr>
          <w:rFonts w:hint="eastAsia" w:ascii="楷体" w:hAnsi="楷体" w:eastAsia="楷体" w:cs="宋体"/>
          <w:color w:val="333333"/>
          <w:kern w:val="0"/>
          <w:sz w:val="29"/>
          <w:szCs w:val="29"/>
        </w:rPr>
        <w:t>根据《普通高等学校学生管理规定》（教育部41号令）和《安徽财经大学普通本科学生学籍管理规定》，结合学校实际情况，特制定我校本科学生专业分流管理办法。</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b/>
          <w:bCs/>
          <w:color w:val="333333"/>
          <w:kern w:val="0"/>
          <w:sz w:val="29"/>
          <w:szCs w:val="29"/>
        </w:rPr>
        <w:t>一、组织机构</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1.学校专业分流领导小组。学校成立专业分流领导小组，负责组织协调专业分流工作。组长由分管教学校领导担任，成员为教务处、监察审计处、各学院（部）的主要负责人。领导小组办公室设在教务处。</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2.学院专业分流工作小组。各学院成立学院专业分流工作小组，负责拟定本学院专业接收计划与接收条件、学生咨询、分流考核，审核拟转入转出学生名单等具体工作。</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宋体" w:hAnsi="宋体" w:eastAsia="宋体" w:cs="宋体"/>
          <w:color w:val="333333"/>
          <w:kern w:val="0"/>
          <w:sz w:val="29"/>
          <w:szCs w:val="29"/>
        </w:rPr>
        <w:t> </w:t>
      </w:r>
      <w:r>
        <w:rPr>
          <w:rFonts w:hint="eastAsia" w:ascii="楷体" w:hAnsi="楷体" w:eastAsia="楷体" w:cs="宋体"/>
          <w:color w:val="333333"/>
          <w:kern w:val="0"/>
          <w:sz w:val="29"/>
          <w:szCs w:val="29"/>
        </w:rPr>
        <w:t>3.学校学生申述处理委员会。学校学生申述处理委员会,负责受理和处理学生的申诉。相关规定详见《安徽财经大学学生申诉处理办法》。</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二、</w:t>
      </w:r>
      <w:r>
        <w:rPr>
          <w:rFonts w:hint="eastAsia" w:ascii="楷体" w:hAnsi="楷体" w:eastAsia="楷体" w:cs="宋体"/>
          <w:b/>
          <w:bCs/>
          <w:color w:val="333333"/>
          <w:kern w:val="0"/>
          <w:sz w:val="29"/>
          <w:szCs w:val="29"/>
        </w:rPr>
        <w:t>专业分流基本原则</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1.坚持公开、公平与公正原则，实现信息公开、阳光操作，自觉接受师生监督。</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2.专业分流应以学生为本，充分尊重学生自愿选择，保障学生自由选择专业的权利；干扰、误导和篡改学生志愿的与一级教学事故同等处理。</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3.第一学年第二学期内完成专业分流工作。</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4.专业</w:t>
      </w:r>
      <w:r>
        <w:rPr>
          <w:rFonts w:hint="eastAsia" w:ascii="楷体" w:hAnsi="楷体" w:eastAsia="楷体" w:cs="宋体"/>
          <w:color w:val="333333"/>
          <w:kern w:val="0"/>
          <w:sz w:val="29"/>
          <w:szCs w:val="29"/>
          <w:shd w:val="clear" w:color="auto" w:fill="FFFFFF"/>
        </w:rPr>
        <w:t>分流（不含</w:t>
      </w:r>
      <w:r>
        <w:rPr>
          <w:rFonts w:hint="eastAsia" w:ascii="楷体" w:hAnsi="楷体" w:eastAsia="楷体" w:cs="宋体"/>
          <w:color w:val="333333"/>
          <w:kern w:val="0"/>
          <w:sz w:val="29"/>
          <w:szCs w:val="29"/>
        </w:rPr>
        <w:t>专业类内分流）</w:t>
      </w:r>
      <w:r>
        <w:rPr>
          <w:rFonts w:hint="eastAsia" w:ascii="楷体" w:hAnsi="楷体" w:eastAsia="楷体" w:cs="宋体"/>
          <w:color w:val="333333"/>
          <w:kern w:val="0"/>
          <w:sz w:val="29"/>
          <w:szCs w:val="29"/>
          <w:shd w:val="clear" w:color="auto" w:fill="FFFFFF"/>
        </w:rPr>
        <w:t>学生原则上要</w:t>
      </w:r>
      <w:r>
        <w:rPr>
          <w:rFonts w:hint="eastAsia" w:ascii="楷体" w:hAnsi="楷体" w:eastAsia="楷体" w:cs="宋体"/>
          <w:color w:val="333333"/>
          <w:kern w:val="0"/>
          <w:sz w:val="29"/>
          <w:szCs w:val="29"/>
        </w:rPr>
        <w:t>修读完第一学年第一学期培养方案规定的全部课程，且所有课程考核（含补考）合格。</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5.招生时为定向委托培养、中外合作办学项目及其他政策规定不得转专业的学生不参与分流。</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6.按美术学类和设计学类招生的学生只能在美术学类和设计学类专业中分流；按美术学类和设计学类招生之外的学生不得分流进入美术学类和设计学类专业。</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7.原则上每个专业学生人数达到20人及以上，可单独组班。专业分流专业学生人数不足20人，在尊重学生自愿前提下，根据学校招生办对外公布的招生专业目录和专业建设实际情况，报学校专业分流领导小组同意，可单独编班。</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b/>
          <w:bCs/>
          <w:color w:val="333333"/>
          <w:kern w:val="0"/>
          <w:sz w:val="29"/>
          <w:szCs w:val="29"/>
        </w:rPr>
        <w:t>三、实施流程</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1.专业接收计划数与接收条件发布。学院根据专业生师比情况、专业规划与就业质量，拟申报各专业接收计划与接收条件，经学校专业分流领导小组同意后，统一公布。</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2.学生个人申请。第一学年第二学期期初补考工作完成后（一般为第四周），学生向转入专业所在学院提交转专业申请表与成绩单。</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3.资格审查。报名结束后一周内，学院对学生报名资格审查，审查结果在学院网页上公示3天。</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4.分流考核。若</w:t>
      </w:r>
      <w:r>
        <w:rPr>
          <w:rFonts w:hint="eastAsia" w:ascii="楷体" w:hAnsi="楷体" w:eastAsia="楷体" w:cs="宋体"/>
          <w:color w:val="333333"/>
          <w:kern w:val="0"/>
          <w:sz w:val="29"/>
          <w:szCs w:val="29"/>
          <w:shd w:val="clear" w:color="auto" w:fill="FFFFFF"/>
        </w:rPr>
        <w:t>报名人数大于专业接收计划数，学院</w:t>
      </w:r>
      <w:r>
        <w:rPr>
          <w:rFonts w:hint="eastAsia" w:ascii="楷体" w:hAnsi="楷体" w:eastAsia="楷体" w:cs="宋体"/>
          <w:color w:val="333333"/>
          <w:kern w:val="0"/>
          <w:sz w:val="29"/>
          <w:szCs w:val="29"/>
        </w:rPr>
        <w:t>按照学生第一学年第一学期平均学分绩点(GPA)从高到低择优录取；若</w:t>
      </w:r>
      <w:r>
        <w:rPr>
          <w:rFonts w:hint="eastAsia" w:ascii="楷体" w:hAnsi="楷体" w:eastAsia="楷体" w:cs="宋体"/>
          <w:color w:val="333333"/>
          <w:kern w:val="0"/>
          <w:sz w:val="29"/>
          <w:szCs w:val="29"/>
          <w:shd w:val="clear" w:color="auto" w:fill="FFFFFF"/>
        </w:rPr>
        <w:t>报名人数小于专业接收计划数，学院直接拟录取报名的学生。分流名单在学院网页上公示3天。</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5.学生确认。学生须在拟分流名单公示期后，在规定时间按照学院规定方式予以确认；如未按规定时间确认，学院原则上将不予接收。</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6.专业志愿调剂。专业接收计划没有完成的，依据学院的方案，学生在计划没有完成的专业内自愿报名申请，但再次接收数不得超过未完成前计划的30%，同时学生需在规定时间内完成确认工作。</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7.专业类内分流,原则上允许学生自愿选择专业类内专业（专业类包含具体专业以学校招生办对外公布为准）。</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8.名单确定。经学生确认分流结果，由学校专业分流领导小组审批并报请校长办公会审议通过，教务处对外公布最终分流名单。</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b/>
          <w:bCs/>
          <w:color w:val="333333"/>
          <w:kern w:val="0"/>
          <w:sz w:val="29"/>
          <w:szCs w:val="29"/>
        </w:rPr>
        <w:t>四、学籍信息变更及管理</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1.教务处负责统一变更学生学籍信息（校教学管理系统和教育部学信网）。</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2.学生按照分流后专业培养方案审查学业完成情况，按照有关课程替代规定办理替代手续。</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b/>
          <w:bCs/>
          <w:color w:val="333333"/>
          <w:kern w:val="0"/>
          <w:sz w:val="29"/>
          <w:szCs w:val="29"/>
        </w:rPr>
        <w:t>五、申诉及处理</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学生对分流结果有异议，按照有关规定向学校学生申述处理委员会提出书面申诉。</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b/>
          <w:bCs/>
          <w:color w:val="333333"/>
          <w:kern w:val="0"/>
          <w:sz w:val="29"/>
          <w:szCs w:val="29"/>
        </w:rPr>
        <w:t>六、其他</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1.本办法从2018级普通本科生开始实施，原《安徽财经大学普通本科学生专业分流指导意见（第二次修订）》</w:t>
      </w:r>
      <w:r>
        <w:rPr>
          <w:rFonts w:hint="eastAsia" w:ascii="楷体" w:hAnsi="楷体" w:eastAsia="楷体" w:cs="宋体"/>
          <w:color w:val="333333"/>
          <w:kern w:val="0"/>
          <w:sz w:val="29"/>
          <w:szCs w:val="29"/>
          <w:shd w:val="clear" w:color="auto" w:fill="FFFFFF"/>
        </w:rPr>
        <w:t>（校政字〔2017</w:t>
      </w:r>
      <w:r>
        <w:rPr>
          <w:rFonts w:hint="eastAsia" w:ascii="楷体" w:hAnsi="楷体" w:eastAsia="楷体" w:cs="宋体"/>
          <w:color w:val="333333"/>
          <w:kern w:val="0"/>
          <w:sz w:val="29"/>
          <w:szCs w:val="29"/>
        </w:rPr>
        <w:t>〕</w:t>
      </w:r>
      <w:r>
        <w:rPr>
          <w:rFonts w:hint="eastAsia" w:ascii="楷体" w:hAnsi="楷体" w:eastAsia="楷体" w:cs="宋体"/>
          <w:color w:val="333333"/>
          <w:kern w:val="0"/>
          <w:sz w:val="29"/>
          <w:szCs w:val="29"/>
          <w:shd w:val="clear" w:color="auto" w:fill="FFFFFF"/>
        </w:rPr>
        <w:t>40号）以及以此制定的实施方案</w:t>
      </w:r>
      <w:r>
        <w:rPr>
          <w:rFonts w:hint="eastAsia" w:ascii="楷体" w:hAnsi="楷体" w:eastAsia="楷体" w:cs="宋体"/>
          <w:color w:val="333333"/>
          <w:kern w:val="0"/>
          <w:sz w:val="29"/>
          <w:szCs w:val="29"/>
        </w:rPr>
        <w:t>废止。</w:t>
      </w:r>
    </w:p>
    <w:p>
      <w:pPr>
        <w:widowControl/>
        <w:shd w:val="clear" w:color="auto" w:fill="FFFFFF"/>
        <w:spacing w:line="315" w:lineRule="atLeast"/>
        <w:ind w:firstLine="555"/>
        <w:rPr>
          <w:rFonts w:ascii="宋体" w:hAnsi="宋体" w:eastAsia="宋体" w:cs="宋体"/>
          <w:color w:val="333333"/>
          <w:kern w:val="0"/>
          <w:sz w:val="24"/>
          <w:szCs w:val="24"/>
        </w:rPr>
      </w:pPr>
      <w:r>
        <w:rPr>
          <w:rFonts w:hint="eastAsia" w:ascii="楷体" w:hAnsi="楷体" w:eastAsia="楷体" w:cs="宋体"/>
          <w:color w:val="333333"/>
          <w:kern w:val="0"/>
          <w:sz w:val="29"/>
          <w:szCs w:val="29"/>
        </w:rPr>
        <w:t>2.本办法授权教务处负责解释。</w:t>
      </w:r>
    </w:p>
    <w:p>
      <w:pPr>
        <w:widowControl/>
        <w:shd w:val="clear" w:color="auto" w:fill="FFFFFF"/>
        <w:spacing w:line="315" w:lineRule="atLeast"/>
        <w:ind w:firstLine="555"/>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shd w:val="clear" w:color="auto" w:fill="FFFFFF"/>
        <w:spacing w:line="315" w:lineRule="atLeast"/>
        <w:ind w:firstLine="555"/>
        <w:rPr>
          <w:rFonts w:ascii="宋体" w:hAnsi="宋体" w:eastAsia="宋体" w:cs="宋体"/>
          <w:color w:val="333333"/>
          <w:kern w:val="0"/>
          <w:sz w:val="24"/>
          <w:szCs w:val="24"/>
        </w:rPr>
      </w:pPr>
      <w:r>
        <w:rPr>
          <w:rFonts w:ascii="宋体" w:hAnsi="宋体" w:eastAsia="宋体" w:cs="宋体"/>
          <w:color w:val="333333"/>
          <w:kern w:val="0"/>
          <w:sz w:val="24"/>
          <w:szCs w:val="24"/>
        </w:rPr>
        <w:t>  </w:t>
      </w:r>
    </w:p>
    <w:p>
      <w:pPr>
        <w:widowControl/>
        <w:shd w:val="clear" w:color="auto" w:fill="FFFFFF"/>
        <w:spacing w:line="315" w:lineRule="atLeast"/>
        <w:ind w:firstLine="555"/>
        <w:jc w:val="right"/>
        <w:rPr>
          <w:rFonts w:hint="eastAsia" w:ascii="楷体" w:hAnsi="楷体" w:eastAsia="楷体" w:cs="宋体"/>
          <w:color w:val="333333"/>
          <w:kern w:val="0"/>
          <w:sz w:val="29"/>
          <w:szCs w:val="29"/>
        </w:rPr>
      </w:pPr>
    </w:p>
    <w:p>
      <w:pPr>
        <w:widowControl/>
        <w:shd w:val="clear" w:color="auto" w:fill="FFFFFF"/>
        <w:spacing w:line="315" w:lineRule="atLeast"/>
        <w:ind w:firstLine="555"/>
        <w:jc w:val="center"/>
        <w:rPr>
          <w:rFonts w:ascii="宋体" w:hAnsi="宋体" w:eastAsia="宋体" w:cs="宋体"/>
          <w:color w:val="333333"/>
          <w:kern w:val="0"/>
          <w:sz w:val="24"/>
          <w:szCs w:val="24"/>
        </w:rPr>
      </w:pPr>
      <w:r>
        <w:rPr>
          <w:rFonts w:hint="eastAsia" w:ascii="楷体" w:hAnsi="楷体" w:eastAsia="楷体" w:cs="宋体"/>
          <w:color w:val="333333"/>
          <w:kern w:val="0"/>
          <w:sz w:val="29"/>
          <w:szCs w:val="29"/>
          <w:lang w:val="en-US" w:eastAsia="zh-CN"/>
        </w:rPr>
        <w:t xml:space="preserve">                                    </w:t>
      </w:r>
      <w:bookmarkStart w:id="0" w:name="_GoBack"/>
      <w:bookmarkEnd w:id="0"/>
      <w:r>
        <w:rPr>
          <w:rFonts w:hint="eastAsia" w:ascii="楷体" w:hAnsi="楷体" w:eastAsia="楷体" w:cs="宋体"/>
          <w:color w:val="333333"/>
          <w:kern w:val="0"/>
          <w:sz w:val="29"/>
          <w:szCs w:val="29"/>
        </w:rPr>
        <w:t>安徽财经大学</w:t>
      </w:r>
    </w:p>
    <w:p>
      <w:pPr>
        <w:widowControl/>
        <w:shd w:val="clear" w:color="auto" w:fill="FFFFFF"/>
        <w:spacing w:line="315" w:lineRule="atLeast"/>
        <w:ind w:firstLine="555"/>
        <w:jc w:val="right"/>
        <w:rPr>
          <w:rFonts w:ascii="宋体" w:hAnsi="宋体" w:eastAsia="宋体" w:cs="宋体"/>
          <w:color w:val="333333"/>
          <w:kern w:val="0"/>
          <w:sz w:val="24"/>
          <w:szCs w:val="24"/>
        </w:rPr>
      </w:pPr>
      <w:r>
        <w:rPr>
          <w:rFonts w:hint="eastAsia" w:ascii="楷体" w:hAnsi="楷体" w:eastAsia="楷体" w:cs="宋体"/>
          <w:color w:val="333333"/>
          <w:kern w:val="0"/>
          <w:sz w:val="29"/>
          <w:szCs w:val="29"/>
          <w:lang w:val="en-US" w:eastAsia="zh-CN"/>
        </w:rPr>
        <w:t xml:space="preserve">  </w:t>
      </w:r>
      <w:r>
        <w:rPr>
          <w:rFonts w:hint="eastAsia" w:ascii="楷体" w:hAnsi="楷体" w:eastAsia="楷体" w:cs="宋体"/>
          <w:color w:val="333333"/>
          <w:kern w:val="0"/>
          <w:sz w:val="29"/>
          <w:szCs w:val="29"/>
        </w:rPr>
        <w:t>2018年11月20日</w:t>
      </w:r>
    </w:p>
    <w:p>
      <w:pPr>
        <w:widowControl/>
        <w:shd w:val="clear" w:color="auto" w:fill="FFFFFF"/>
        <w:spacing w:line="389" w:lineRule="atLeast"/>
        <w:jc w:val="left"/>
        <w:rPr>
          <w:rFonts w:ascii="宋体" w:hAnsi="宋体" w:eastAsia="宋体" w:cs="宋体"/>
          <w:color w:val="333333"/>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C1"/>
    <w:rsid w:val="009C2127"/>
    <w:rsid w:val="00C65E97"/>
    <w:rsid w:val="00D866C1"/>
    <w:rsid w:val="02A9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233</Words>
  <Characters>1329</Characters>
  <Lines>11</Lines>
  <Paragraphs>3</Paragraphs>
  <TotalTime>52</TotalTime>
  <ScaleCrop>false</ScaleCrop>
  <LinksUpToDate>false</LinksUpToDate>
  <CharactersWithSpaces>1559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2019-03-18T02:17:00Z</dcterms:created>
  <dc:creator>PC</dc:creator>
  <cp:lastModifiedBy>1</cp:lastModifiedBy>
  <cp:lastPrinted>2019-03-18T02:17:00Z</cp:lastPrinted>
  <dcterms:modified xsi:type="dcterms:W3CDTF">2019-03-26T00:33:02Z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